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80"/>
            </w:pPr>
            <w:r>
              <w:rPr>
                <w:rFonts w:ascii="Arial" w:cs="Arial" w:eastAsia="Arial" w:hAnsi="Arial"/>
                <w:b/>
                <w:bCs/>
                <w:caps/>
                <w:color w:val="A8C4DC"/>
                <w:sz w:val="22"/>
                <w:szCs w:val="22"/>
              </w:rPr>
              <w:t xml:space="preserve">AI SKILL DEVELOPMENT FOR</w:t>
            </w:r>
          </w:p>
          <w:p>
            <w:pPr>
              <w:spacing w:before="0" w:after="120"/>
            </w:pPr>
            <w:r>
              <w:rPr>
                <w:rFonts w:ascii="Arial" w:cs="Arial" w:eastAsia="Arial" w:hAnsi="Arial"/>
                <w:b/>
                <w:bCs/>
                <w:color w:val="FFFFFF"/>
                <w:sz w:val="48"/>
                <w:szCs w:val="48"/>
              </w:rPr>
              <w:t xml:space="preserve">Insurance Professionals</w:t>
            </w:r>
          </w:p>
          <w:p>
            <w:pPr>
              <w:spacing w:before="0" w:after="160"/>
            </w:pPr>
            <w:r>
              <w:rPr>
                <w:rFonts w:ascii="Arial" w:cs="Arial" w:eastAsia="Arial" w:hAnsi="Arial"/>
                <w:i/>
                <w:iCs/>
                <w:color w:val="C9D8E8"/>
                <w:sz w:val="26"/>
                <w:szCs w:val="26"/>
              </w:rPr>
              <w:t xml:space="preserve">A Six-Session AI Capability Development Series</w:t>
            </w:r>
          </w:p>
          <w:p>
            <w:pPr>
              <w:pBdr>
                <w:top w:val="single" w:color="2E6DA4" w:sz="4" w:space="8"/>
              </w:pBdr>
              <w:spacing w:before="0" w:after="0"/>
            </w:pPr>
            <w:r>
              <w:rPr>
                <w:rFonts w:ascii="Arial" w:cs="Arial" w:eastAsia="Arial" w:hAnsi="Arial"/>
                <w:color w:val="A8C4DC"/>
                <w:sz w:val="20"/>
                <w:szCs w:val="20"/>
              </w:rPr>
              <w:t xml:space="preserve">Future Workforce Systems  │  CollabIntel Consulting Group  │  Holly Hartman</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WHY THIS PROGRAM EXISTS</w:t>
      </w:r>
    </w:p>
    <w:p>
      <w:pPr>
        <w:spacing w:before="100" w:after="100"/>
        <w:jc w:val="left"/>
      </w:pPr>
      <w:r>
        <w:rPr>
          <w:rFonts w:ascii="Arial" w:cs="Arial" w:eastAsia="Arial" w:hAnsi="Arial"/>
          <w:b w:val="false"/>
          <w:bCs w:val="false"/>
          <w:i w:val="false"/>
          <w:iCs w:val="false"/>
          <w:color w:val="1A1A1A"/>
          <w:sz w:val="22"/>
          <w:szCs w:val="22"/>
        </w:rPr>
        <w:t xml:space="preserve">Insurance is a relationship business built on trust, responsiveness, and the ability to explain complex products clearly under pressure. Agents and producers who win don't just know their products — they communicate faster, follow up more consistently, and spend more time in front of clients instead of buried in administrative work.</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 workload hasn't gotten lighter. Renewal seasons are relentless. Prospecting never stops. Clients expect rapid responses to coverage questions, claims guidance, and policy changes — often all at once. Most agencies have invested in CRMs, quoting tools, and agency management systems to help agents stay on top of it. But technology investment alone doesn't solve the problem. The agents who are pulling ahead aren't just using better tools — they're using every tool they have more intelligently.</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AI has changed what's possible. Agents who know how to work with AI are drafting proposal cover letters in minutes, running client communication sequences that feel personal at scale, and walking into renewal conversations more prepared than ever. Those who don't are still rebuilding the same emails from scratch and losing hours every week to work that shouldn't require their expertise at all.</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Research from McKinsey shows that 70% of digital transformation initiatives fail — not because the technology was wrong, but because capability development didn't keep pace with deployment. IBM's Global AI Adoption Index confirms it: the number one barrier to scaling AI is not cost or access. It's the skills gap at the user level.</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program exists to close that gap — not by adding more software, but by building the human capability that makes every tool agents already have perform the way it was intended.</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 Six-Session AI Skill Development Series is designed specifically for insurance professionals — agents, producers, and agency teams who are ready to work more efficiently, serve clients better, and build a book of business that doesn't require them to do everything manually. Every session is built around real friction agents face daily. No vendor pitches. No compliance consulting. Just transferable AI skills that work across every platform, every line of business, and every agency management system.</w:t>
      </w:r>
    </w:p>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WHAT MAKES THIS DIFFERENT</w:t>
      </w:r>
    </w:p>
    <w:p>
      <w:pPr>
        <w:spacing w:before="100" w:after="100"/>
        <w:jc w:val="left"/>
      </w:pPr>
      <w:r>
        <w:rPr>
          <w:rFonts w:ascii="Arial" w:cs="Arial" w:eastAsia="Arial" w:hAnsi="Arial"/>
          <w:b w:val="false"/>
          <w:bCs w:val="false"/>
          <w:i w:val="false"/>
          <w:iCs w:val="false"/>
          <w:color w:val="1A1A1A"/>
          <w:sz w:val="22"/>
          <w:szCs w:val="22"/>
        </w:rPr>
        <w:t xml:space="preserve">Most AI training teaches a platform. Agents learn a specific tool's interface, the tool updates — and they're starting over. This program takes a different approach.</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 focus is on input discipline: how to structure what you give an AI system to produce high-quality, usable results. That skill transfers across ChatGPT, Claude, Gemini, and every platform built on top of them — including the AI features increasingly built into agency management systems and CRMs agents already use. Agents who develop strong prompt architecture don't become dependent on any single vendor. They become capable operators of any AI system, regardless of what their agency or carrier deploys next.</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is not platform training. It is performance development powered by AI.</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Every session ends with a working deliverable agents can use immediately — not homework, not theory. A functional system ready for Monday morning.</w:t>
      </w:r>
    </w:p>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WHAT YOU ARE — AND ARE NOT — BUYING</w:t>
      </w:r>
    </w:p>
    <w:p>
      <w:pPr>
        <w:spacing w:before="100" w:after="100"/>
        <w:jc w:val="left"/>
      </w:pPr>
      <w:r>
        <w:rPr>
          <w:rFonts w:ascii="Arial" w:cs="Arial" w:eastAsia="Arial" w:hAnsi="Arial"/>
          <w:b w:val="false"/>
          <w:bCs w:val="false"/>
          <w:i w:val="false"/>
          <w:iCs w:val="false"/>
          <w:color w:val="1A1A1A"/>
          <w:sz w:val="22"/>
          <w:szCs w:val="22"/>
        </w:rPr>
        <w:t xml:space="preserve">Before anything else, let's be clear about what this program is — because in a world full of AI vendors, implementation consultants, and automation promises, the distinction matters.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100"/>
            </w:pPr>
            <w:r>
              <w:rPr>
                <w:rFonts w:ascii="Arial" w:cs="Arial" w:eastAsia="Arial" w:hAnsi="Arial"/>
                <w:b/>
                <w:bCs/>
                <w:color w:val="FFFFFF"/>
                <w:sz w:val="24"/>
                <w:szCs w:val="24"/>
              </w:rPr>
              <w:t xml:space="preserve">This is skills training. Not technology implementation.</w:t>
            </w:r>
          </w:p>
          <w:p>
            <w:pPr>
              <w:spacing w:before="0" w:after="0"/>
            </w:pPr>
            <w:r>
              <w:rPr>
                <w:rFonts w:ascii="Arial" w:cs="Arial" w:eastAsia="Arial" w:hAnsi="Arial"/>
                <w:i/>
                <w:iCs/>
                <w:color w:val="C9D8E8"/>
                <w:sz w:val="21"/>
                <w:szCs w:val="21"/>
              </w:rPr>
              <w:t xml:space="preserve">No software will be installed. No systems will be integrated. No vendor relationships will be created. Your IT department does not need to be involved.</w:t>
            </w:r>
          </w:p>
        </w:tc>
      </w:tr>
    </w:tbl>
    <w:p>
      <w:pPr>
        <w:spacing w:before="14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What gets built in this program lives in your people — not in a platform. The five core competencies taught across these sessions — prompt architecture, workflow systemization, communication frameworks, decision intelligence, and responsible integration — are not tied to any specific tool. They work in ChatGPT, Claude, Gemini, Microsoft Copilot, and every AI system built on top of those models. They will still work in whatever comes next.</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matters more than it might seem. The AI landscape is moving fast — platforms update, new tools emerge, and vendor priorities shift constantly. Organizations that invest in platform-specific training find themselves retraining every 12 to 18 months. Organizations that invest in the underlying human skill layer don't have that problem. The skill transfers automatically, because the skill isn't about the tool — it's about how to think clearly alongside any AI system.</w:t>
      </w:r>
    </w:p>
    <w:p>
      <w:r>
        <w:br w:type="page"/>
      </w:r>
    </w:p>
    <w:p>
      <w:pPr>
        <w:spacing w:before="100" w:after="100"/>
        <w:jc w:val="left"/>
      </w:pPr>
      <w:r>
        <w:rPr>
          <w:rFonts w:ascii="Arial" w:cs="Arial" w:eastAsia="Arial" w:hAnsi="Arial"/>
          <w:b w:val="false"/>
          <w:bCs w:val="false"/>
          <w:i w:val="false"/>
          <w:iCs w:val="false"/>
          <w:color w:val="1A1A1A"/>
          <w:sz w:val="22"/>
          <w:szCs w:val="22"/>
        </w:rPr>
        <w:t xml:space="preserve">What this program is not:</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900"/>
      </w:tblGrid>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Software implementation or systems integration of any kind</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Changes to your existing technology stack, platforms, or vendor relationships</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Automation build-outs, workflow automation, or technical configuration</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Compliance consulting, legal guidance, or data security auditing</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Platform-specific training that becomes obsolete when a tool updates</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Anything that requires IT involvement, budget approvals beyond training, or operational disruption</w:t>
            </w:r>
          </w:p>
        </w:tc>
      </w:tr>
    </w:tbl>
    <w:p>
      <w:pPr>
        <w:spacing w:before="12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What this program is: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900"/>
      </w:tblGrid>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Structured capability development that builds skills your team owns permanently</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System-agnostic training that works with every AI platform — today and in the future</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Practical, session-based learning built around the real friction your operation faces daily</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 working deliverable at the end of every session — usable immediately, no follow-up required</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Zero implementation risk, zero disruption, and no dependency on any vendor or trainer to maintain</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8F5" w:val="clear"/>
            <w:tcMar>
              <w:top w:type="dxa" w:w="160"/>
              <w:left w:type="dxa" w:w="240"/>
              <w:bottom w:type="dxa" w:w="160"/>
              <w:right w:type="dxa" w:w="240"/>
            </w:tcMar>
          </w:tcPr>
          <w:p>
            <w:pPr>
              <w:spacing w:before="0" w:after="0"/>
            </w:pPr>
            <w:r>
              <w:rPr>
                <w:rFonts w:ascii="Arial" w:cs="Arial" w:eastAsia="Arial" w:hAnsi="Arial"/>
                <w:i/>
                <w:iCs/>
                <w:color w:val="1B3A5C"/>
                <w:sz w:val="21"/>
                <w:szCs w:val="21"/>
              </w:rPr>
              <w:t xml:space="preserve">The goal is a team that can work confidently and independently with any AI system — not a team that needs a consultant every time the technology changes.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WHO THIS IS FOR</w:t>
      </w:r>
    </w:p>
    <w:p>
      <w:pPr>
        <w:spacing w:before="100" w:after="100"/>
        <w:jc w:val="left"/>
      </w:pPr>
      <w:r>
        <w:rPr>
          <w:rFonts w:ascii="Arial" w:cs="Arial" w:eastAsia="Arial" w:hAnsi="Arial"/>
          <w:b w:val="false"/>
          <w:bCs w:val="false"/>
          <w:i w:val="false"/>
          <w:iCs w:val="false"/>
          <w:color w:val="1A1A1A"/>
          <w:sz w:val="22"/>
          <w:szCs w:val="22"/>
        </w:rPr>
        <w:t xml:space="preserve">This program is built for insurance professionals who are ready to work more efficiently, communicate more consistently, and grow their book without burning out on administrative work:</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80"/>
            </w:tcMar>
          </w:tcPr>
          <w:p>
            <w:pPr>
              <w:spacing w:before="0" w:after="60"/>
            </w:pPr>
            <w:r>
              <w:rPr>
                <w:rFonts w:ascii="Arial" w:cs="Arial" w:eastAsia="Arial" w:hAnsi="Arial"/>
                <w:b/>
                <w:bCs/>
                <w:color w:val="1B3A5C"/>
                <w:sz w:val="22"/>
                <w:szCs w:val="22"/>
              </w:rPr>
              <w:t xml:space="preserve">Agents &amp; Producers</w:t>
            </w:r>
          </w:p>
          <w:p>
            <w:pPr>
              <w:pStyle w:val="ListParagraph"/>
              <w:numPr>
                <w:ilvl w:val="0"/>
                <w:numId w:val="2"/>
              </w:numPr>
              <w:spacing w:before="50" w:after="50"/>
            </w:pPr>
            <w:r>
              <w:rPr>
                <w:rFonts w:ascii="Arial" w:cs="Arial" w:eastAsia="Arial" w:hAnsi="Arial"/>
                <w:color w:val="1A1A1A"/>
                <w:sz w:val="20"/>
                <w:szCs w:val="20"/>
              </w:rPr>
              <w:t xml:space="preserve">Independent Insurance Agents</w:t>
            </w:r>
          </w:p>
          <w:p>
            <w:pPr>
              <w:pStyle w:val="ListParagraph"/>
              <w:numPr>
                <w:ilvl w:val="0"/>
                <w:numId w:val="2"/>
              </w:numPr>
              <w:spacing w:before="50" w:after="50"/>
            </w:pPr>
            <w:r>
              <w:rPr>
                <w:rFonts w:ascii="Arial" w:cs="Arial" w:eastAsia="Arial" w:hAnsi="Arial"/>
                <w:color w:val="1A1A1A"/>
                <w:sz w:val="20"/>
                <w:szCs w:val="20"/>
              </w:rPr>
              <w:t xml:space="preserve">Captive Agents &amp; Producers</w:t>
            </w:r>
          </w:p>
          <w:p>
            <w:pPr>
              <w:pStyle w:val="ListParagraph"/>
              <w:numPr>
                <w:ilvl w:val="0"/>
                <w:numId w:val="2"/>
              </w:numPr>
              <w:spacing w:before="50" w:after="50"/>
            </w:pPr>
            <w:r>
              <w:rPr>
                <w:rFonts w:ascii="Arial" w:cs="Arial" w:eastAsia="Arial" w:hAnsi="Arial"/>
                <w:color w:val="1A1A1A"/>
                <w:sz w:val="20"/>
                <w:szCs w:val="20"/>
              </w:rPr>
              <w:t xml:space="preserve">Personal Lines Specialists</w:t>
            </w:r>
          </w:p>
          <w:p>
            <w:pPr>
              <w:pStyle w:val="ListParagraph"/>
              <w:numPr>
                <w:ilvl w:val="0"/>
                <w:numId w:val="2"/>
              </w:numPr>
              <w:spacing w:before="50" w:after="50"/>
            </w:pPr>
            <w:r>
              <w:rPr>
                <w:rFonts w:ascii="Arial" w:cs="Arial" w:eastAsia="Arial" w:hAnsi="Arial"/>
                <w:color w:val="1A1A1A"/>
                <w:sz w:val="20"/>
                <w:szCs w:val="20"/>
              </w:rPr>
              <w:t xml:space="preserve">Commercial Lines Producers</w:t>
            </w:r>
          </w:p>
          <w:p>
            <w:pPr>
              <w:pStyle w:val="ListParagraph"/>
              <w:numPr>
                <w:ilvl w:val="0"/>
                <w:numId w:val="2"/>
              </w:numPr>
              <w:spacing w:before="50" w:after="50"/>
            </w:pPr>
            <w:r>
              <w:rPr>
                <w:rFonts w:ascii="Arial" w:cs="Arial" w:eastAsia="Arial" w:hAnsi="Arial"/>
                <w:color w:val="1A1A1A"/>
                <w:sz w:val="20"/>
                <w:szCs w:val="20"/>
              </w:rPr>
              <w:t xml:space="preserve">Life &amp; Health Insurance Agents</w:t>
            </w:r>
          </w:p>
          <w:p>
            <w:pPr>
              <w:pStyle w:val="ListParagraph"/>
              <w:numPr>
                <w:ilvl w:val="0"/>
                <w:numId w:val="2"/>
              </w:numPr>
              <w:spacing w:before="50" w:after="50"/>
            </w:pPr>
            <w:r>
              <w:rPr>
                <w:rFonts w:ascii="Arial" w:cs="Arial" w:eastAsia="Arial" w:hAnsi="Arial"/>
                <w:color w:val="1A1A1A"/>
                <w:sz w:val="20"/>
                <w:szCs w:val="20"/>
              </w:rPr>
              <w:t xml:space="preserve">New Producers Building Their Book</w:t>
            </w:r>
          </w:p>
        </w:tc>
        <w:tc>
          <w:tcPr>
            <w:tcW w:type="dxa" w:w="4680"/>
            <w:tcBorders>
              <w:top w:val="none" w:color="FFFFFF" w:sz="0"/>
              <w:left w:val="none" w:color="FFFFFF" w:sz="0"/>
              <w:bottom w:val="none" w:color="FFFFFF" w:sz="0"/>
              <w:right w:val="none" w:color="FFFFFF" w:sz="0"/>
            </w:tcBorders>
            <w:tcMar>
              <w:top w:type="dxa" w:w="80"/>
              <w:left w:type="dxa" w:w="180"/>
              <w:bottom w:type="dxa" w:w="80"/>
              <w:right w:type="dxa" w:w="0"/>
            </w:tcMar>
          </w:tcPr>
          <w:p>
            <w:pPr>
              <w:spacing w:before="0" w:after="60"/>
            </w:pPr>
            <w:r>
              <w:rPr>
                <w:rFonts w:ascii="Arial" w:cs="Arial" w:eastAsia="Arial" w:hAnsi="Arial"/>
                <w:b/>
                <w:bCs/>
                <w:color w:val="1B3A5C"/>
                <w:sz w:val="22"/>
                <w:szCs w:val="22"/>
              </w:rPr>
              <w:t xml:space="preserve">Agency Leadership &amp; Operations</w:t>
            </w:r>
          </w:p>
          <w:p>
            <w:pPr>
              <w:pStyle w:val="ListParagraph"/>
              <w:numPr>
                <w:ilvl w:val="0"/>
                <w:numId w:val="2"/>
              </w:numPr>
              <w:spacing w:before="50" w:after="50"/>
            </w:pPr>
            <w:r>
              <w:rPr>
                <w:rFonts w:ascii="Arial" w:cs="Arial" w:eastAsia="Arial" w:hAnsi="Arial"/>
                <w:color w:val="1A1A1A"/>
                <w:sz w:val="20"/>
                <w:szCs w:val="20"/>
              </w:rPr>
              <w:t xml:space="preserve">Agency Owners &amp; Principals</w:t>
            </w:r>
          </w:p>
          <w:p>
            <w:pPr>
              <w:pStyle w:val="ListParagraph"/>
              <w:numPr>
                <w:ilvl w:val="0"/>
                <w:numId w:val="2"/>
              </w:numPr>
              <w:spacing w:before="50" w:after="50"/>
            </w:pPr>
            <w:r>
              <w:rPr>
                <w:rFonts w:ascii="Arial" w:cs="Arial" w:eastAsia="Arial" w:hAnsi="Arial"/>
                <w:color w:val="1A1A1A"/>
                <w:sz w:val="20"/>
                <w:szCs w:val="20"/>
              </w:rPr>
              <w:t xml:space="preserve">Team Leaders &amp; Sales Managers</w:t>
            </w:r>
          </w:p>
          <w:p>
            <w:pPr>
              <w:pStyle w:val="ListParagraph"/>
              <w:numPr>
                <w:ilvl w:val="0"/>
                <w:numId w:val="2"/>
              </w:numPr>
              <w:spacing w:before="50" w:after="50"/>
            </w:pPr>
            <w:r>
              <w:rPr>
                <w:rFonts w:ascii="Arial" w:cs="Arial" w:eastAsia="Arial" w:hAnsi="Arial"/>
                <w:color w:val="1A1A1A"/>
                <w:sz w:val="20"/>
                <w:szCs w:val="20"/>
              </w:rPr>
              <w:t xml:space="preserve">Customer Service Representatives</w:t>
            </w:r>
          </w:p>
          <w:p>
            <w:pPr>
              <w:pStyle w:val="ListParagraph"/>
              <w:numPr>
                <w:ilvl w:val="0"/>
                <w:numId w:val="2"/>
              </w:numPr>
              <w:spacing w:before="50" w:after="50"/>
            </w:pPr>
            <w:r>
              <w:rPr>
                <w:rFonts w:ascii="Arial" w:cs="Arial" w:eastAsia="Arial" w:hAnsi="Arial"/>
                <w:color w:val="1A1A1A"/>
                <w:sz w:val="20"/>
                <w:szCs w:val="20"/>
              </w:rPr>
              <w:t xml:space="preserve">Account Managers &amp; Retention Teams</w:t>
            </w:r>
          </w:p>
          <w:p>
            <w:pPr>
              <w:pStyle w:val="ListParagraph"/>
              <w:numPr>
                <w:ilvl w:val="0"/>
                <w:numId w:val="2"/>
              </w:numPr>
              <w:spacing w:before="50" w:after="50"/>
            </w:pPr>
            <w:r>
              <w:rPr>
                <w:rFonts w:ascii="Arial" w:cs="Arial" w:eastAsia="Arial" w:hAnsi="Arial"/>
                <w:color w:val="1A1A1A"/>
                <w:sz w:val="20"/>
                <w:szCs w:val="20"/>
              </w:rPr>
              <w:t xml:space="preserve">Marketing &amp; Operations Staff</w:t>
            </w:r>
          </w:p>
          <w:p>
            <w:pPr>
              <w:pStyle w:val="ListParagraph"/>
              <w:numPr>
                <w:ilvl w:val="0"/>
                <w:numId w:val="2"/>
              </w:numPr>
              <w:spacing w:before="50" w:after="50"/>
            </w:pPr>
            <w:r>
              <w:rPr>
                <w:rFonts w:ascii="Arial" w:cs="Arial" w:eastAsia="Arial" w:hAnsi="Arial"/>
                <w:color w:val="1A1A1A"/>
                <w:sz w:val="20"/>
                <w:szCs w:val="20"/>
              </w:rPr>
              <w:t xml:space="preserve">Agency Administrators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CORE SKILL DEVELOPMENT AREAS</w:t>
      </w:r>
    </w:p>
    <w:p>
      <w:pPr>
        <w:spacing w:before="100" w:after="100"/>
        <w:jc w:val="left"/>
      </w:pPr>
      <w:r>
        <w:rPr>
          <w:rFonts w:ascii="Arial" w:cs="Arial" w:eastAsia="Arial" w:hAnsi="Arial"/>
          <w:b w:val="false"/>
          <w:bCs w:val="false"/>
          <w:i w:val="false"/>
          <w:iCs w:val="false"/>
          <w:color w:val="1A1A1A"/>
          <w:sz w:val="22"/>
          <w:szCs w:val="22"/>
        </w:rPr>
        <w:t xml:space="preserve">Across six sessions, participants build five transferable AI competencies that apply across tools and evolve alongside the technology landscape.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1. Prompt Architecture</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structure instructions that produce high-quality, usable outputs across any AI platform. Agents learn to provide relevant context, define tone and constraints, and refine results strategically — so they get precise, professional outputs instead of generic ones.</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2. Workflow Systemization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convert repetitive agency activities — renewal outreach, policy reviews, prospect follow-up — into structured, AI-supported systems. Agents identify friction points, build reusable processes, and eliminate the administrative drag that slows daily production.</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3. AI-Augmented Communication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to strengthen client relationships and prospect outreach — not automate them into feeling cold. Agents develop structured messaging frameworks that maintain authentic voice while improving consistency, speed, and follow-through.</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4. Decision &amp; Coverage Intelligence</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as a preparation partner when building proposals, explaining coverage options, and navigating renewals. Agents translate complex policy information into clear, client-friendly communication — faster and with more confidence.</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5. Responsible Integration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intelligently within the boundaries of insurance practice. Agents develop clear decision rules for when and how to use AI, protecting client data and ensuring outputs are reviewed before they reach clients or prospects.</w:t>
            </w:r>
          </w:p>
        </w:tc>
      </w:tr>
    </w:tbl>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6-SESSION PROGRAM MAP</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Each session is built around real operational friction, ends with a working deliverable, and can be scheduled at whatever cadence fits your organization.</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800"/>
        <w:gridCol w:w="5120"/>
      </w:tblGrid>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1</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Foundations &amp; Model Clarity</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AI Fundamentals for Insurance Professionals</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2</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The AI Proposal &amp; Quote Presentation System</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Faster, More Compelling Client Proposals</w:t>
            </w:r>
          </w:p>
        </w:tc>
      </w:tr>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3</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Client Communication &amp; Retention</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Consistent Outreach Without the Manual Workload</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4</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Prospecting &amp; New Business Development</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Smarter Outreach, Stronger First Impressions</w:t>
            </w:r>
          </w:p>
        </w:tc>
      </w:tr>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5</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Smarter Coverage Conversations &amp; Renewal Prep</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AI-Assisted Preparation for Every Client Meeting</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6</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Your AI Operating System</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Personal Integration &amp; Capstone Build</w:t>
            </w:r>
          </w:p>
        </w:tc>
      </w:tr>
    </w:tbl>
    <w:p>
      <w:pPr>
        <w:spacing w:before="160" w:after="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1:  </w:t>
            </w:r>
            <w:r>
              <w:rPr>
                <w:rFonts w:ascii="Arial" w:cs="Arial" w:eastAsia="Arial" w:hAnsi="Arial"/>
                <w:b/>
                <w:bCs/>
                <w:color w:val="FFFFFF"/>
                <w:sz w:val="26"/>
                <w:szCs w:val="26"/>
              </w:rPr>
              <w:t xml:space="preserve">AI Foundations &amp; Model Clarity</w:t>
            </w:r>
          </w:p>
          <w:p>
            <w:pPr>
              <w:spacing w:before="0" w:after="0"/>
            </w:pPr>
            <w:r>
              <w:rPr>
                <w:rFonts w:ascii="Arial" w:cs="Arial" w:eastAsia="Arial" w:hAnsi="Arial"/>
                <w:i/>
                <w:iCs/>
                <w:color w:val="A8C4DC"/>
                <w:sz w:val="20"/>
                <w:szCs w:val="20"/>
              </w:rPr>
              <w:t xml:space="preserve">AI Fundamentals for Insurance Professionals</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Prompt Architecture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101 — Assisted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Establish a confident, consistent foundation for AI usage across your agency. This session removes confusion, standardizes prompting practices, and ensures every agent and team member — regardless of current experience level — starts from the same baseline. It also addresses data privacy and establishes clear guardrails around what client and policy information should and should not be entered into AI systems.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prompting skills: context, task clarity, constraints, output format</w:t>
            </w:r>
          </w:p>
          <w:p>
            <w:pPr>
              <w:pStyle w:val="ListParagraph"/>
              <w:numPr>
                <w:ilvl w:val="0"/>
                <w:numId w:val="2"/>
              </w:numPr>
              <w:spacing w:before="40" w:after="40"/>
            </w:pPr>
            <w:r>
              <w:rPr>
                <w:rFonts w:ascii="Arial" w:cs="Arial" w:eastAsia="Arial" w:hAnsi="Arial"/>
                <w:color w:val="1A1A1A"/>
                <w:sz w:val="20"/>
                <w:szCs w:val="20"/>
              </w:rPr>
              <w:t xml:space="preserve">Working knowledge of major AI platforms (ChatGPT, Claude, Gemini) and when to use each</w:t>
            </w:r>
          </w:p>
          <w:p>
            <w:pPr>
              <w:pStyle w:val="ListParagraph"/>
              <w:numPr>
                <w:ilvl w:val="0"/>
                <w:numId w:val="2"/>
              </w:numPr>
              <w:spacing w:before="40" w:after="40"/>
            </w:pPr>
            <w:r>
              <w:rPr>
                <w:rFonts w:ascii="Arial" w:cs="Arial" w:eastAsia="Arial" w:hAnsi="Arial"/>
                <w:color w:val="1A1A1A"/>
                <w:sz w:val="20"/>
                <w:szCs w:val="20"/>
              </w:rPr>
              <w:t xml:space="preserve">Data privacy discipline and clear guidelines for responsible AI use with sensitive client and policy data</w:t>
            </w:r>
          </w:p>
          <w:p>
            <w:pPr>
              <w:pStyle w:val="ListParagraph"/>
              <w:numPr>
                <w:ilvl w:val="0"/>
                <w:numId w:val="2"/>
              </w:numPr>
              <w:spacing w:before="40" w:after="40"/>
            </w:pPr>
            <w:r>
              <w:rPr>
                <w:rFonts w:ascii="Arial" w:cs="Arial" w:eastAsia="Arial" w:hAnsi="Arial"/>
                <w:color w:val="1A1A1A"/>
                <w:sz w:val="20"/>
                <w:szCs w:val="20"/>
              </w:rPr>
              <w:t xml:space="preserve">A practical decision framework for evaluating AI tools and avoiding unnecessary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Daily Workflow Framework</w:t>
            </w:r>
          </w:p>
          <w:p>
            <w:pPr>
              <w:spacing w:before="0" w:after="0"/>
            </w:pPr>
            <w:r>
              <w:rPr>
                <w:rFonts w:ascii="Arial" w:cs="Arial" w:eastAsia="Arial" w:hAnsi="Arial"/>
                <w:color w:val="1A1A1A"/>
                <w:sz w:val="20"/>
                <w:szCs w:val="20"/>
              </w:rPr>
              <w:t xml:space="preserve">A structured, reusable planning and execution template agents use to prioritize tasks, draft communication, and organize their day — from prospect outreach to renewal follow-up to client service requests.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Consistent AI literacy baseline across all experience levels</w:t>
            </w:r>
          </w:p>
          <w:p>
            <w:pPr>
              <w:pStyle w:val="ListParagraph"/>
              <w:numPr>
                <w:ilvl w:val="0"/>
                <w:numId w:val="2"/>
              </w:numPr>
              <w:spacing w:before="40" w:after="40"/>
            </w:pPr>
            <w:r>
              <w:rPr>
                <w:rFonts w:ascii="Arial" w:cs="Arial" w:eastAsia="Arial" w:hAnsi="Arial"/>
                <w:color w:val="1A1A1A"/>
                <w:sz w:val="20"/>
                <w:szCs w:val="20"/>
              </w:rPr>
              <w:t xml:space="preserve">Reduced confusion and hesitation around AI tools agency-wide</w:t>
            </w:r>
          </w:p>
          <w:p>
            <w:pPr>
              <w:pStyle w:val="ListParagraph"/>
              <w:numPr>
                <w:ilvl w:val="0"/>
                <w:numId w:val="2"/>
              </w:numPr>
              <w:spacing w:before="40" w:after="40"/>
            </w:pPr>
            <w:r>
              <w:rPr>
                <w:rFonts w:ascii="Arial" w:cs="Arial" w:eastAsia="Arial" w:hAnsi="Arial"/>
                <w:color w:val="1A1A1A"/>
                <w:sz w:val="20"/>
                <w:szCs w:val="20"/>
              </w:rPr>
              <w:t xml:space="preserve">Standardized data privacy practices from day one</w:t>
            </w:r>
          </w:p>
          <w:p>
            <w:pPr>
              <w:pStyle w:val="ListParagraph"/>
              <w:numPr>
                <w:ilvl w:val="0"/>
                <w:numId w:val="2"/>
              </w:numPr>
              <w:spacing w:before="40" w:after="40"/>
            </w:pPr>
            <w:r>
              <w:rPr>
                <w:rFonts w:ascii="Arial" w:cs="Arial" w:eastAsia="Arial" w:hAnsi="Arial"/>
                <w:color w:val="1A1A1A"/>
                <w:sz w:val="20"/>
                <w:szCs w:val="20"/>
              </w:rPr>
              <w:t xml:space="preserve">Improved output quality immediately regardless of prior AI experience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2:  </w:t>
            </w:r>
            <w:r>
              <w:rPr>
                <w:rFonts w:ascii="Arial" w:cs="Arial" w:eastAsia="Arial" w:hAnsi="Arial"/>
                <w:b/>
                <w:bCs/>
                <w:color w:val="FFFFFF"/>
                <w:sz w:val="26"/>
                <w:szCs w:val="26"/>
              </w:rPr>
              <w:t xml:space="preserve">The AI Proposal &amp; Quote Presentation System</w:t>
            </w:r>
          </w:p>
          <w:p>
            <w:pPr>
              <w:spacing w:before="0" w:after="0"/>
            </w:pPr>
            <w:r>
              <w:rPr>
                <w:rFonts w:ascii="Arial" w:cs="Arial" w:eastAsia="Arial" w:hAnsi="Arial"/>
                <w:i/>
                <w:iCs/>
                <w:color w:val="A8C4DC"/>
                <w:sz w:val="20"/>
                <w:szCs w:val="20"/>
              </w:rPr>
              <w:t xml:space="preserve">Faster, More Compelling Client Proposals</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Systemization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Transform proposal and quote presentation from a time-consuming one-off effort into a structured, repeatable system. Agents stop rebuilding cover letters and summary documents from scratch on every submission and start producing faster, more consistent proposals — without sacrificing the personal touch that builds trust.</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 structured client and coverage input framework that feeds AI-ready proposal generation</w:t>
            </w:r>
          </w:p>
          <w:p>
            <w:pPr>
              <w:pStyle w:val="ListParagraph"/>
              <w:numPr>
                <w:ilvl w:val="0"/>
                <w:numId w:val="2"/>
              </w:numPr>
              <w:spacing w:before="40" w:after="40"/>
            </w:pPr>
            <w:r>
              <w:rPr>
                <w:rFonts w:ascii="Arial" w:cs="Arial" w:eastAsia="Arial" w:hAnsi="Arial"/>
                <w:color w:val="1A1A1A"/>
                <w:sz w:val="20"/>
                <w:szCs w:val="20"/>
              </w:rPr>
              <w:t xml:space="preserve">A repeatable multi-format proposal workflow built from a single client brief</w:t>
            </w:r>
          </w:p>
          <w:p>
            <w:pPr>
              <w:pStyle w:val="ListParagraph"/>
              <w:numPr>
                <w:ilvl w:val="0"/>
                <w:numId w:val="2"/>
              </w:numPr>
              <w:spacing w:before="40" w:after="40"/>
            </w:pPr>
            <w:r>
              <w:rPr>
                <w:rFonts w:ascii="Arial" w:cs="Arial" w:eastAsia="Arial" w:hAnsi="Arial"/>
                <w:color w:val="1A1A1A"/>
                <w:sz w:val="20"/>
                <w:szCs w:val="20"/>
              </w:rPr>
              <w:t xml:space="preserve">Cover letter, coverage summary, and follow-up communication templates</w:t>
            </w:r>
          </w:p>
          <w:p>
            <w:pPr>
              <w:pStyle w:val="ListParagraph"/>
              <w:numPr>
                <w:ilvl w:val="0"/>
                <w:numId w:val="2"/>
              </w:numPr>
              <w:spacing w:before="40" w:after="40"/>
            </w:pPr>
            <w:r>
              <w:rPr>
                <w:rFonts w:ascii="Arial" w:cs="Arial" w:eastAsia="Arial" w:hAnsi="Arial"/>
                <w:color w:val="1A1A1A"/>
                <w:sz w:val="20"/>
                <w:szCs w:val="20"/>
              </w:rPr>
              <w:t xml:space="preserve">Tone and voice consistency across all written proposal assets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Proposal &amp; Quote System</w:t>
            </w:r>
          </w:p>
          <w:p>
            <w:pPr>
              <w:spacing w:before="0" w:after="0"/>
            </w:pPr>
            <w:r>
              <w:rPr>
                <w:rFonts w:ascii="Arial" w:cs="Arial" w:eastAsia="Arial" w:hAnsi="Arial"/>
                <w:color w:val="1A1A1A"/>
                <w:sz w:val="20"/>
                <w:szCs w:val="20"/>
              </w:rPr>
              <w:t xml:space="preserve">Produces proposal cover letters, coverage comparison summaries, quote explanation emails, objection response drafts, and follow-up sequences from one organized client input — professional, consistent, and ready to send.</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Dramatically reduced proposal preparation time</w:t>
            </w:r>
          </w:p>
          <w:p>
            <w:pPr>
              <w:pStyle w:val="ListParagraph"/>
              <w:numPr>
                <w:ilvl w:val="0"/>
                <w:numId w:val="2"/>
              </w:numPr>
              <w:spacing w:before="40" w:after="40"/>
            </w:pPr>
            <w:r>
              <w:rPr>
                <w:rFonts w:ascii="Arial" w:cs="Arial" w:eastAsia="Arial" w:hAnsi="Arial"/>
                <w:color w:val="1A1A1A"/>
                <w:sz w:val="20"/>
                <w:szCs w:val="20"/>
              </w:rPr>
              <w:t xml:space="preserve">Faster quote turnaround and submission</w:t>
            </w:r>
          </w:p>
          <w:p>
            <w:pPr>
              <w:pStyle w:val="ListParagraph"/>
              <w:numPr>
                <w:ilvl w:val="0"/>
                <w:numId w:val="2"/>
              </w:numPr>
              <w:spacing w:before="40" w:after="40"/>
            </w:pPr>
            <w:r>
              <w:rPr>
                <w:rFonts w:ascii="Arial" w:cs="Arial" w:eastAsia="Arial" w:hAnsi="Arial"/>
                <w:color w:val="1A1A1A"/>
                <w:sz w:val="20"/>
                <w:szCs w:val="20"/>
              </w:rPr>
              <w:t xml:space="preserve">More consistent and professional proposals regardless of who prepares them</w:t>
            </w:r>
          </w:p>
          <w:p>
            <w:pPr>
              <w:pStyle w:val="ListParagraph"/>
              <w:numPr>
                <w:ilvl w:val="0"/>
                <w:numId w:val="2"/>
              </w:numPr>
              <w:spacing w:before="40" w:after="40"/>
            </w:pPr>
            <w:r>
              <w:rPr>
                <w:rFonts w:ascii="Arial" w:cs="Arial" w:eastAsia="Arial" w:hAnsi="Arial"/>
                <w:color w:val="1A1A1A"/>
                <w:sz w:val="20"/>
                <w:szCs w:val="20"/>
              </w:rPr>
              <w:t xml:space="preserve">Less time rebuilding documents, more time closing</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3:  </w:t>
            </w:r>
            <w:r>
              <w:rPr>
                <w:rFonts w:ascii="Arial" w:cs="Arial" w:eastAsia="Arial" w:hAnsi="Arial"/>
                <w:b/>
                <w:bCs/>
                <w:color w:val="FFFFFF"/>
                <w:sz w:val="26"/>
                <w:szCs w:val="26"/>
              </w:rPr>
              <w:t xml:space="preserve">AI for Client Communication &amp; Retention</w:t>
            </w:r>
          </w:p>
          <w:p>
            <w:pPr>
              <w:spacing w:before="0" w:after="0"/>
            </w:pPr>
            <w:r>
              <w:rPr>
                <w:rFonts w:ascii="Arial" w:cs="Arial" w:eastAsia="Arial" w:hAnsi="Arial"/>
                <w:i/>
                <w:iCs/>
                <w:color w:val="A8C4DC"/>
                <w:sz w:val="20"/>
                <w:szCs w:val="20"/>
              </w:rPr>
              <w:t xml:space="preserve">Consistent Outreach Without the Manual Workload</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Communication Architecture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Strengthen client communication and retention by using AI to draft, organize, and sequence messaging — while preserving the authentic, relationship-driven voice that keeps clients from shopping elsewhere. This session reduces reactive communication and builds the proactive outreach habits that protect and grow a book of business.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renewal communication and pre-renewal outreach sequences</w:t>
            </w:r>
          </w:p>
          <w:p>
            <w:pPr>
              <w:pStyle w:val="ListParagraph"/>
              <w:numPr>
                <w:ilvl w:val="0"/>
                <w:numId w:val="2"/>
              </w:numPr>
              <w:spacing w:before="40" w:after="40"/>
            </w:pPr>
            <w:r>
              <w:rPr>
                <w:rFonts w:ascii="Arial" w:cs="Arial" w:eastAsia="Arial" w:hAnsi="Arial"/>
                <w:color w:val="1A1A1A"/>
                <w:sz w:val="20"/>
                <w:szCs w:val="20"/>
              </w:rPr>
              <w:t xml:space="preserve">Policy change and coverage update notification frameworks</w:t>
            </w:r>
          </w:p>
          <w:p>
            <w:pPr>
              <w:pStyle w:val="ListParagraph"/>
              <w:numPr>
                <w:ilvl w:val="0"/>
                <w:numId w:val="2"/>
              </w:numPr>
              <w:spacing w:before="40" w:after="40"/>
            </w:pPr>
            <w:r>
              <w:rPr>
                <w:rFonts w:ascii="Arial" w:cs="Arial" w:eastAsia="Arial" w:hAnsi="Arial"/>
                <w:color w:val="1A1A1A"/>
                <w:sz w:val="20"/>
                <w:szCs w:val="20"/>
              </w:rPr>
              <w:t xml:space="preserve">Claims empathy and guidance communication templates</w:t>
            </w:r>
          </w:p>
          <w:p>
            <w:pPr>
              <w:pStyle w:val="ListParagraph"/>
              <w:numPr>
                <w:ilvl w:val="0"/>
                <w:numId w:val="2"/>
              </w:numPr>
              <w:spacing w:before="40" w:after="40"/>
            </w:pPr>
            <w:r>
              <w:rPr>
                <w:rFonts w:ascii="Arial" w:cs="Arial" w:eastAsia="Arial" w:hAnsi="Arial"/>
                <w:color w:val="1A1A1A"/>
                <w:sz w:val="20"/>
                <w:szCs w:val="20"/>
              </w:rPr>
              <w:t xml:space="preserve">Referral request and client appreciation messaging</w:t>
            </w:r>
          </w:p>
          <w:p>
            <w:pPr>
              <w:pStyle w:val="ListParagraph"/>
              <w:numPr>
                <w:ilvl w:val="0"/>
                <w:numId w:val="2"/>
              </w:numPr>
              <w:spacing w:before="40" w:after="40"/>
            </w:pPr>
            <w:r>
              <w:rPr>
                <w:rFonts w:ascii="Arial" w:cs="Arial" w:eastAsia="Arial" w:hAnsi="Arial"/>
                <w:color w:val="1A1A1A"/>
                <w:sz w:val="20"/>
                <w:szCs w:val="20"/>
              </w:rPr>
              <w:t xml:space="preserve">Tone refinement to maintain warmth and authenticity across AI-drafted content</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Client Retention Communication Framework</w:t>
            </w:r>
          </w:p>
          <w:p>
            <w:pPr>
              <w:spacing w:before="0" w:after="0"/>
            </w:pPr>
            <w:r>
              <w:rPr>
                <w:rFonts w:ascii="Arial" w:cs="Arial" w:eastAsia="Arial" w:hAnsi="Arial"/>
                <w:color w:val="1A1A1A"/>
                <w:sz w:val="20"/>
                <w:szCs w:val="20"/>
              </w:rPr>
              <w:t xml:space="preserve">A reusable messaging system covering renewal touchpoints, policy review outreach, claims communication, referral requests, life event check-ins, and annual review invitations — consistent, professional, and immediately usable.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consistent client outreach with dramatically less manual effort</w:t>
            </w:r>
          </w:p>
          <w:p>
            <w:pPr>
              <w:pStyle w:val="ListParagraph"/>
              <w:numPr>
                <w:ilvl w:val="0"/>
                <w:numId w:val="2"/>
              </w:numPr>
              <w:spacing w:before="40" w:after="40"/>
            </w:pPr>
            <w:r>
              <w:rPr>
                <w:rFonts w:ascii="Arial" w:cs="Arial" w:eastAsia="Arial" w:hAnsi="Arial"/>
                <w:color w:val="1A1A1A"/>
                <w:sz w:val="20"/>
                <w:szCs w:val="20"/>
              </w:rPr>
              <w:t xml:space="preserve">Stronger retention through proactive communication</w:t>
            </w:r>
          </w:p>
          <w:p>
            <w:pPr>
              <w:pStyle w:val="ListParagraph"/>
              <w:numPr>
                <w:ilvl w:val="0"/>
                <w:numId w:val="2"/>
              </w:numPr>
              <w:spacing w:before="40" w:after="40"/>
            </w:pPr>
            <w:r>
              <w:rPr>
                <w:rFonts w:ascii="Arial" w:cs="Arial" w:eastAsia="Arial" w:hAnsi="Arial"/>
                <w:color w:val="1A1A1A"/>
                <w:sz w:val="20"/>
                <w:szCs w:val="20"/>
              </w:rPr>
              <w:t xml:space="preserve">Fewer clients lost to competitors due to communication gaps</w:t>
            </w:r>
          </w:p>
          <w:p>
            <w:pPr>
              <w:pStyle w:val="ListParagraph"/>
              <w:numPr>
                <w:ilvl w:val="0"/>
                <w:numId w:val="2"/>
              </w:numPr>
              <w:spacing w:before="40" w:after="40"/>
            </w:pPr>
            <w:r>
              <w:rPr>
                <w:rFonts w:ascii="Arial" w:cs="Arial" w:eastAsia="Arial" w:hAnsi="Arial"/>
                <w:color w:val="1A1A1A"/>
                <w:sz w:val="20"/>
                <w:szCs w:val="20"/>
              </w:rPr>
              <w:t xml:space="preserve">A systematic approach to relationship management that scales with the book</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4:  </w:t>
            </w:r>
            <w:r>
              <w:rPr>
                <w:rFonts w:ascii="Arial" w:cs="Arial" w:eastAsia="Arial" w:hAnsi="Arial"/>
                <w:b/>
                <w:bCs/>
                <w:color w:val="FFFFFF"/>
                <w:sz w:val="26"/>
                <w:szCs w:val="26"/>
              </w:rPr>
              <w:t xml:space="preserve">AI for Prospecting &amp; New Business Development</w:t>
            </w:r>
          </w:p>
          <w:p>
            <w:pPr>
              <w:spacing w:before="0" w:after="0"/>
            </w:pPr>
            <w:r>
              <w:rPr>
                <w:rFonts w:ascii="Arial" w:cs="Arial" w:eastAsia="Arial" w:hAnsi="Arial"/>
                <w:i/>
                <w:iCs/>
                <w:color w:val="A8C4DC"/>
                <w:sz w:val="20"/>
                <w:szCs w:val="20"/>
              </w:rPr>
              <w:t xml:space="preserve">Smarter Outreach, Stronger First Impressions</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Systemization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103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Build a structured, repeatable prospecting and outreach system using AI. Agents develop frameworks for cold and warm outreach, referral partner communication, and new business follow-up — so prospecting is consistent and professional, not sporadic and exhausting.</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cold and warm outreach sequence frameworks</w:t>
            </w:r>
          </w:p>
          <w:p>
            <w:pPr>
              <w:pStyle w:val="ListParagraph"/>
              <w:numPr>
                <w:ilvl w:val="0"/>
                <w:numId w:val="2"/>
              </w:numPr>
              <w:spacing w:before="40" w:after="40"/>
            </w:pPr>
            <w:r>
              <w:rPr>
                <w:rFonts w:ascii="Arial" w:cs="Arial" w:eastAsia="Arial" w:hAnsi="Arial"/>
                <w:color w:val="1A1A1A"/>
                <w:sz w:val="20"/>
                <w:szCs w:val="20"/>
              </w:rPr>
              <w:t xml:space="preserve">Referral partner communication and relationship-building templates</w:t>
            </w:r>
          </w:p>
          <w:p>
            <w:pPr>
              <w:pStyle w:val="ListParagraph"/>
              <w:numPr>
                <w:ilvl w:val="0"/>
                <w:numId w:val="2"/>
              </w:numPr>
              <w:spacing w:before="40" w:after="40"/>
            </w:pPr>
            <w:r>
              <w:rPr>
                <w:rFonts w:ascii="Arial" w:cs="Arial" w:eastAsia="Arial" w:hAnsi="Arial"/>
                <w:color w:val="1A1A1A"/>
                <w:sz w:val="20"/>
                <w:szCs w:val="20"/>
              </w:rPr>
              <w:t xml:space="preserve">LinkedIn and email prospecting workflows</w:t>
            </w:r>
          </w:p>
          <w:p>
            <w:pPr>
              <w:pStyle w:val="ListParagraph"/>
              <w:numPr>
                <w:ilvl w:val="0"/>
                <w:numId w:val="2"/>
              </w:numPr>
              <w:spacing w:before="40" w:after="40"/>
            </w:pPr>
            <w:r>
              <w:rPr>
                <w:rFonts w:ascii="Arial" w:cs="Arial" w:eastAsia="Arial" w:hAnsi="Arial"/>
                <w:color w:val="1A1A1A"/>
                <w:sz w:val="20"/>
                <w:szCs w:val="20"/>
              </w:rPr>
              <w:t xml:space="preserve">New business follow-up and nurture sequences</w:t>
            </w:r>
          </w:p>
          <w:p>
            <w:pPr>
              <w:pStyle w:val="ListParagraph"/>
              <w:numPr>
                <w:ilvl w:val="0"/>
                <w:numId w:val="2"/>
              </w:numPr>
              <w:spacing w:before="40" w:after="40"/>
            </w:pPr>
            <w:r>
              <w:rPr>
                <w:rFonts w:ascii="Arial" w:cs="Arial" w:eastAsia="Arial" w:hAnsi="Arial"/>
                <w:color w:val="1A1A1A"/>
                <w:sz w:val="20"/>
                <w:szCs w:val="20"/>
              </w:rPr>
              <w:t xml:space="preserve">The ability to personalize at scale without losing the human connection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Prospecting &amp; New Business System</w:t>
            </w:r>
          </w:p>
          <w:p>
            <w:pPr>
              <w:spacing w:before="0" w:after="0"/>
            </w:pPr>
            <w:r>
              <w:rPr>
                <w:rFonts w:ascii="Arial" w:cs="Arial" w:eastAsia="Arial" w:hAnsi="Arial"/>
                <w:color w:val="1A1A1A"/>
                <w:sz w:val="20"/>
                <w:szCs w:val="20"/>
              </w:rPr>
              <w:t xml:space="preserve">A reusable prospecting framework covering introduction outreach, referral partner sequences, multi-touch follow-up campaigns, and new lead nurture — structured for consistency, personalized for impact.</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consistent prospecting activity without burning out on manual writing</w:t>
            </w:r>
          </w:p>
          <w:p>
            <w:pPr>
              <w:pStyle w:val="ListParagraph"/>
              <w:numPr>
                <w:ilvl w:val="0"/>
                <w:numId w:val="2"/>
              </w:numPr>
              <w:spacing w:before="40" w:after="40"/>
            </w:pPr>
            <w:r>
              <w:rPr>
                <w:rFonts w:ascii="Arial" w:cs="Arial" w:eastAsia="Arial" w:hAnsi="Arial"/>
                <w:color w:val="1A1A1A"/>
                <w:sz w:val="20"/>
                <w:szCs w:val="20"/>
              </w:rPr>
              <w:t xml:space="preserve">Higher quality first impressions in every new business interaction</w:t>
            </w:r>
          </w:p>
          <w:p>
            <w:pPr>
              <w:pStyle w:val="ListParagraph"/>
              <w:numPr>
                <w:ilvl w:val="0"/>
                <w:numId w:val="2"/>
              </w:numPr>
              <w:spacing w:before="40" w:after="40"/>
            </w:pPr>
            <w:r>
              <w:rPr>
                <w:rFonts w:ascii="Arial" w:cs="Arial" w:eastAsia="Arial" w:hAnsi="Arial"/>
                <w:color w:val="1A1A1A"/>
                <w:sz w:val="20"/>
                <w:szCs w:val="20"/>
              </w:rPr>
              <w:t xml:space="preserve">Stronger referral partner relationships built through systematic communication</w:t>
            </w:r>
          </w:p>
          <w:p>
            <w:pPr>
              <w:pStyle w:val="ListParagraph"/>
              <w:numPr>
                <w:ilvl w:val="0"/>
                <w:numId w:val="2"/>
              </w:numPr>
              <w:spacing w:before="40" w:after="40"/>
            </w:pPr>
            <w:r>
              <w:rPr>
                <w:rFonts w:ascii="Arial" w:cs="Arial" w:eastAsia="Arial" w:hAnsi="Arial"/>
                <w:color w:val="1A1A1A"/>
                <w:sz w:val="20"/>
                <w:szCs w:val="20"/>
              </w:rPr>
              <w:t xml:space="preserve">A repeatable new business engine that doesn't depend on motivation to function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5:  </w:t>
            </w:r>
            <w:r>
              <w:rPr>
                <w:rFonts w:ascii="Arial" w:cs="Arial" w:eastAsia="Arial" w:hAnsi="Arial"/>
                <w:b/>
                <w:bCs/>
                <w:color w:val="FFFFFF"/>
                <w:sz w:val="26"/>
                <w:szCs w:val="26"/>
              </w:rPr>
              <w:t xml:space="preserve">Smarter Coverage Conversations &amp; Renewal Prep</w:t>
            </w:r>
          </w:p>
          <w:p>
            <w:pPr>
              <w:spacing w:before="0" w:after="0"/>
            </w:pPr>
            <w:r>
              <w:rPr>
                <w:rFonts w:ascii="Arial" w:cs="Arial" w:eastAsia="Arial" w:hAnsi="Arial"/>
                <w:i/>
                <w:iCs/>
                <w:color w:val="A8C4DC"/>
                <w:sz w:val="20"/>
                <w:szCs w:val="20"/>
              </w:rPr>
              <w:t xml:space="preserve">AI-Assisted Preparation for Every Client Meeting</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Decision &amp; Coverage Intelligence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201 — Analytical Integration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Strengthen coverage conversations and renewal preparation by using AI to organize, summarize, and communicate complex policy and coverage information clearly. Agents arrive at every client meeting more prepared, more confident, and able to explain options in plain language — in less time.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frameworks for summarizing policy details and coverage gaps</w:t>
            </w:r>
          </w:p>
          <w:p>
            <w:pPr>
              <w:pStyle w:val="ListParagraph"/>
              <w:numPr>
                <w:ilvl w:val="0"/>
                <w:numId w:val="2"/>
              </w:numPr>
              <w:spacing w:before="40" w:after="40"/>
            </w:pPr>
            <w:r>
              <w:rPr>
                <w:rFonts w:ascii="Arial" w:cs="Arial" w:eastAsia="Arial" w:hAnsi="Arial"/>
                <w:color w:val="1A1A1A"/>
                <w:sz w:val="20"/>
                <w:szCs w:val="20"/>
              </w:rPr>
              <w:t xml:space="preserve">Renewal preparation and account review templates</w:t>
            </w:r>
          </w:p>
          <w:p>
            <w:pPr>
              <w:pStyle w:val="ListParagraph"/>
              <w:numPr>
                <w:ilvl w:val="0"/>
                <w:numId w:val="2"/>
              </w:numPr>
              <w:spacing w:before="40" w:after="40"/>
            </w:pPr>
            <w:r>
              <w:rPr>
                <w:rFonts w:ascii="Arial" w:cs="Arial" w:eastAsia="Arial" w:hAnsi="Arial"/>
                <w:color w:val="1A1A1A"/>
                <w:sz w:val="20"/>
                <w:szCs w:val="20"/>
              </w:rPr>
              <w:t xml:space="preserve">Coverage comparison and upsell conversation frameworks</w:t>
            </w:r>
          </w:p>
          <w:p>
            <w:pPr>
              <w:pStyle w:val="ListParagraph"/>
              <w:numPr>
                <w:ilvl w:val="0"/>
                <w:numId w:val="2"/>
              </w:numPr>
              <w:spacing w:before="40" w:after="40"/>
            </w:pPr>
            <w:r>
              <w:rPr>
                <w:rFonts w:ascii="Arial" w:cs="Arial" w:eastAsia="Arial" w:hAnsi="Arial"/>
                <w:color w:val="1A1A1A"/>
                <w:sz w:val="20"/>
                <w:szCs w:val="20"/>
              </w:rPr>
              <w:t xml:space="preserve">The ability to translate complex policy language into clear, client-friendly explanations</w:t>
            </w:r>
          </w:p>
          <w:p>
            <w:pPr>
              <w:pStyle w:val="ListParagraph"/>
              <w:numPr>
                <w:ilvl w:val="0"/>
                <w:numId w:val="2"/>
              </w:numPr>
              <w:spacing w:before="40" w:after="40"/>
            </w:pPr>
            <w:r>
              <w:rPr>
                <w:rFonts w:ascii="Arial" w:cs="Arial" w:eastAsia="Arial" w:hAnsi="Arial"/>
                <w:color w:val="1A1A1A"/>
                <w:sz w:val="20"/>
                <w:szCs w:val="20"/>
              </w:rPr>
              <w:t xml:space="preserve">AI-assisted preparation for cross-sell conversations and life event reviews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Coverage &amp; Renewal Intelligence Framework</w:t>
            </w:r>
          </w:p>
          <w:p>
            <w:pPr>
              <w:spacing w:before="0" w:after="0"/>
            </w:pPr>
            <w:r>
              <w:rPr>
                <w:rFonts w:ascii="Arial" w:cs="Arial" w:eastAsia="Arial" w:hAnsi="Arial"/>
                <w:color w:val="1A1A1A"/>
                <w:sz w:val="20"/>
                <w:szCs w:val="20"/>
              </w:rPr>
              <w:t xml:space="preserve">A reusable preparation structure for renewal meetings, account reviews, coverage gap conversations, and cross-sell discussions — organized, clear, and ready in minutes rather than hours.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Faster, more confident renewal preparation</w:t>
            </w:r>
          </w:p>
          <w:p>
            <w:pPr>
              <w:pStyle w:val="ListParagraph"/>
              <w:numPr>
                <w:ilvl w:val="0"/>
                <w:numId w:val="2"/>
              </w:numPr>
              <w:spacing w:before="40" w:after="40"/>
            </w:pPr>
            <w:r>
              <w:rPr>
                <w:rFonts w:ascii="Arial" w:cs="Arial" w:eastAsia="Arial" w:hAnsi="Arial"/>
                <w:color w:val="1A1A1A"/>
                <w:sz w:val="20"/>
                <w:szCs w:val="20"/>
              </w:rPr>
              <w:t xml:space="preserve">Clearer coverage explanations that reduce client confusion and build trust</w:t>
            </w:r>
          </w:p>
          <w:p>
            <w:pPr>
              <w:pStyle w:val="ListParagraph"/>
              <w:numPr>
                <w:ilvl w:val="0"/>
                <w:numId w:val="2"/>
              </w:numPr>
              <w:spacing w:before="40" w:after="40"/>
            </w:pPr>
            <w:r>
              <w:rPr>
                <w:rFonts w:ascii="Arial" w:cs="Arial" w:eastAsia="Arial" w:hAnsi="Arial"/>
                <w:color w:val="1A1A1A"/>
                <w:sz w:val="20"/>
                <w:szCs w:val="20"/>
              </w:rPr>
              <w:t xml:space="preserve">More effective cross-sell and upsell conversations</w:t>
            </w:r>
          </w:p>
          <w:p>
            <w:pPr>
              <w:pStyle w:val="ListParagraph"/>
              <w:numPr>
                <w:ilvl w:val="0"/>
                <w:numId w:val="2"/>
              </w:numPr>
              <w:spacing w:before="40" w:after="40"/>
            </w:pPr>
            <w:r>
              <w:rPr>
                <w:rFonts w:ascii="Arial" w:cs="Arial" w:eastAsia="Arial" w:hAnsi="Arial"/>
                <w:color w:val="1A1A1A"/>
                <w:sz w:val="20"/>
                <w:szCs w:val="20"/>
              </w:rPr>
              <w:t xml:space="preserve">Stronger professional positioning at every client touchpoint</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6:  </w:t>
            </w:r>
            <w:r>
              <w:rPr>
                <w:rFonts w:ascii="Arial" w:cs="Arial" w:eastAsia="Arial" w:hAnsi="Arial"/>
                <w:b/>
                <w:bCs/>
                <w:color w:val="FFFFFF"/>
                <w:sz w:val="26"/>
                <w:szCs w:val="26"/>
              </w:rPr>
              <w:t xml:space="preserve">Your AI Operating System</w:t>
            </w:r>
          </w:p>
          <w:p>
            <w:pPr>
              <w:spacing w:before="0" w:after="0"/>
            </w:pPr>
            <w:r>
              <w:rPr>
                <w:rFonts w:ascii="Arial" w:cs="Arial" w:eastAsia="Arial" w:hAnsi="Arial"/>
                <w:i/>
                <w:iCs/>
                <w:color w:val="A8C4DC"/>
                <w:sz w:val="20"/>
                <w:szCs w:val="20"/>
              </w:rPr>
              <w:t xml:space="preserve">Personal Integration &amp; Capstone Build</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Integration &amp; Personalization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Applied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Bring everything together. Agents consolidate the skills, frameworks, and deliverables from Sessions 1–5 into a single, personalized AI operating system built around how they actually work. This session shifts agents from applying isolated skills to running a complete, connected workflow they own and can sustain independently — regardless of what agency management system, CRM, or carrier platform they use.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 consolidated personal prompt library built from all prior sessions</w:t>
            </w:r>
          </w:p>
          <w:p>
            <w:pPr>
              <w:pStyle w:val="ListParagraph"/>
              <w:numPr>
                <w:ilvl w:val="0"/>
                <w:numId w:val="2"/>
              </w:numPr>
              <w:spacing w:before="40" w:after="40"/>
            </w:pPr>
            <w:r>
              <w:rPr>
                <w:rFonts w:ascii="Arial" w:cs="Arial" w:eastAsia="Arial" w:hAnsi="Arial"/>
                <w:color w:val="1A1A1A"/>
                <w:sz w:val="20"/>
                <w:szCs w:val="20"/>
              </w:rPr>
              <w:t xml:space="preserve">Consistent professional voice across proposals, client communication, and prospecting</w:t>
            </w:r>
          </w:p>
          <w:p>
            <w:pPr>
              <w:pStyle w:val="ListParagraph"/>
              <w:numPr>
                <w:ilvl w:val="0"/>
                <w:numId w:val="2"/>
              </w:numPr>
              <w:spacing w:before="40" w:after="40"/>
            </w:pPr>
            <w:r>
              <w:rPr>
                <w:rFonts w:ascii="Arial" w:cs="Arial" w:eastAsia="Arial" w:hAnsi="Arial"/>
                <w:color w:val="1A1A1A"/>
                <w:sz w:val="20"/>
                <w:szCs w:val="20"/>
              </w:rPr>
              <w:t xml:space="preserve">Clear personal decision rules for when and how to use AI in daily workflow</w:t>
            </w:r>
          </w:p>
          <w:p>
            <w:pPr>
              <w:pStyle w:val="ListParagraph"/>
              <w:numPr>
                <w:ilvl w:val="0"/>
                <w:numId w:val="2"/>
              </w:numPr>
              <w:spacing w:before="40" w:after="40"/>
            </w:pPr>
            <w:r>
              <w:rPr>
                <w:rFonts w:ascii="Arial" w:cs="Arial" w:eastAsia="Arial" w:hAnsi="Arial"/>
                <w:color w:val="1A1A1A"/>
                <w:sz w:val="20"/>
                <w:szCs w:val="20"/>
              </w:rPr>
              <w:t xml:space="preserve">A repeatable daily and weekly AI workflow they maintain independently</w:t>
            </w:r>
          </w:p>
          <w:p>
            <w:pPr>
              <w:pStyle w:val="ListParagraph"/>
              <w:numPr>
                <w:ilvl w:val="0"/>
                <w:numId w:val="2"/>
              </w:numPr>
              <w:spacing w:before="40" w:after="40"/>
            </w:pPr>
            <w:r>
              <w:rPr>
                <w:rFonts w:ascii="Arial" w:cs="Arial" w:eastAsia="Arial" w:hAnsi="Arial"/>
                <w:color w:val="1A1A1A"/>
                <w:sz w:val="20"/>
                <w:szCs w:val="20"/>
              </w:rPr>
              <w:t xml:space="preserve">Confident use of AI outputs within any agency management or CRM platform</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Personal AI Operating System</w:t>
            </w:r>
          </w:p>
          <w:p>
            <w:pPr>
              <w:spacing w:before="0" w:after="0"/>
            </w:pPr>
            <w:r>
              <w:rPr>
                <w:rFonts w:ascii="Arial" w:cs="Arial" w:eastAsia="Arial" w:hAnsi="Arial"/>
                <w:color w:val="1A1A1A"/>
                <w:sz w:val="20"/>
                <w:szCs w:val="20"/>
              </w:rPr>
              <w:t xml:space="preserve">Built during the session using each agent's own clients, prospects, and voice. Covers proposal workflows, client retention sequences, prospecting systems, renewal preparation, and daily execution — ready to use the following Monday.</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Agents leave with a working system — not just new knowledge</w:t>
            </w:r>
          </w:p>
          <w:p>
            <w:pPr>
              <w:pStyle w:val="ListParagraph"/>
              <w:numPr>
                <w:ilvl w:val="0"/>
                <w:numId w:val="2"/>
              </w:numPr>
              <w:spacing w:before="40" w:after="40"/>
            </w:pPr>
            <w:r>
              <w:rPr>
                <w:rFonts w:ascii="Arial" w:cs="Arial" w:eastAsia="Arial" w:hAnsi="Arial"/>
                <w:color w:val="1A1A1A"/>
                <w:sz w:val="20"/>
                <w:szCs w:val="20"/>
              </w:rPr>
              <w:t xml:space="preserve">Reduced scattered, inconsistent AI usage across the agency</w:t>
            </w:r>
          </w:p>
          <w:p>
            <w:pPr>
              <w:pStyle w:val="ListParagraph"/>
              <w:numPr>
                <w:ilvl w:val="0"/>
                <w:numId w:val="2"/>
              </w:numPr>
              <w:spacing w:before="40" w:after="40"/>
            </w:pPr>
            <w:r>
              <w:rPr>
                <w:rFonts w:ascii="Arial" w:cs="Arial" w:eastAsia="Arial" w:hAnsi="Arial"/>
                <w:color w:val="1A1A1A"/>
                <w:sz w:val="20"/>
                <w:szCs w:val="20"/>
              </w:rPr>
              <w:t xml:space="preserve">Consistent professional output quality at the individual agent level</w:t>
            </w:r>
          </w:p>
          <w:p>
            <w:pPr>
              <w:pStyle w:val="ListParagraph"/>
              <w:numPr>
                <w:ilvl w:val="0"/>
                <w:numId w:val="2"/>
              </w:numPr>
              <w:spacing w:before="40" w:after="40"/>
            </w:pPr>
            <w:r>
              <w:rPr>
                <w:rFonts w:ascii="Arial" w:cs="Arial" w:eastAsia="Arial" w:hAnsi="Arial"/>
                <w:color w:val="1A1A1A"/>
                <w:sz w:val="20"/>
                <w:szCs w:val="20"/>
              </w:rPr>
              <w:t xml:space="preserve">A clear, self-sustaining foundation for continued AI development as the technology evolves</w:t>
            </w:r>
          </w:p>
        </w:tc>
      </w:tr>
    </w:tbl>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WHAT THIS LOOKS LIKE AFTER SIX SESSIONS</w:t>
      </w:r>
    </w:p>
    <w:p>
      <w:pPr>
        <w:pStyle w:val="Heading2"/>
        <w:spacing w:before="320" w:after="100"/>
      </w:pPr>
      <w:r>
        <w:rPr>
          <w:rFonts w:ascii="Arial" w:cs="Arial" w:eastAsia="Arial" w:hAnsi="Arial"/>
          <w:b/>
          <w:bCs/>
          <w:color w:val="2E6DA4"/>
          <w:sz w:val="24"/>
          <w:szCs w:val="24"/>
        </w:rPr>
        <w:t xml:space="preserve">At the Agent Level</w:t>
      </w:r>
    </w:p>
    <w:p>
      <w:pPr>
        <w:spacing w:before="100" w:after="100"/>
        <w:jc w:val="left"/>
      </w:pPr>
      <w:r>
        <w:rPr>
          <w:rFonts w:ascii="Arial" w:cs="Arial" w:eastAsia="Arial" w:hAnsi="Arial"/>
          <w:b w:val="false"/>
          <w:bCs w:val="false"/>
          <w:i w:val="false"/>
          <w:iCs w:val="false"/>
          <w:color w:val="1A1A1A"/>
          <w:sz w:val="22"/>
          <w:szCs w:val="22"/>
        </w:rPr>
        <w:t xml:space="preserve">A personal AI operating system built around each agent's actual book of business, clients, and practice style. Measurably reduced time on proposals, client communication, prospecting, and renewal prep. Confident, independent AI use — not dependency on a trainer or vendor. Skills that transfer across every platform and every agency management system, now and in the future.</w:t>
      </w:r>
    </w:p>
    <w:p>
      <w:pPr>
        <w:spacing w:before="80" w:after="0"/>
      </w:pPr>
      <w:r>
        <w:t xml:space="preserve"/>
      </w:r>
    </w:p>
    <w:p>
      <w:pPr>
        <w:pStyle w:val="Heading2"/>
        <w:spacing w:before="320" w:after="100"/>
      </w:pPr>
      <w:r>
        <w:rPr>
          <w:rFonts w:ascii="Arial" w:cs="Arial" w:eastAsia="Arial" w:hAnsi="Arial"/>
          <w:b/>
          <w:bCs/>
          <w:color w:val="2E6DA4"/>
          <w:sz w:val="24"/>
          <w:szCs w:val="24"/>
        </w:rPr>
        <w:t xml:space="preserve">At the Agency Level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80"/>
            </w:tcMar>
          </w:tcPr>
          <w:p>
            <w:pPr>
              <w:spacing w:before="0" w:after="60"/>
            </w:pPr>
            <w:r>
              <w:rPr>
                <w:rFonts w:ascii="Arial" w:cs="Arial" w:eastAsia="Arial" w:hAnsi="Arial"/>
                <w:b/>
                <w:bCs/>
                <w:color w:val="1B3A5C"/>
                <w:sz w:val="22"/>
                <w:szCs w:val="22"/>
              </w:rPr>
              <w:t xml:space="preserve">For Agents &amp; Producers</w:t>
            </w:r>
          </w:p>
          <w:p>
            <w:pPr>
              <w:pStyle w:val="ListParagraph"/>
              <w:numPr>
                <w:ilvl w:val="0"/>
                <w:numId w:val="2"/>
              </w:numPr>
              <w:spacing w:before="50" w:after="50"/>
            </w:pPr>
            <w:r>
              <w:rPr>
                <w:rFonts w:ascii="Arial" w:cs="Arial" w:eastAsia="Arial" w:hAnsi="Arial"/>
                <w:color w:val="1A1A1A"/>
                <w:sz w:val="20"/>
                <w:szCs w:val="20"/>
              </w:rPr>
              <w:t xml:space="preserve">Proposals produced faster and more consistently</w:t>
            </w:r>
          </w:p>
          <w:p>
            <w:pPr>
              <w:pStyle w:val="ListParagraph"/>
              <w:numPr>
                <w:ilvl w:val="0"/>
                <w:numId w:val="2"/>
              </w:numPr>
              <w:spacing w:before="50" w:after="50"/>
            </w:pPr>
            <w:r>
              <w:rPr>
                <w:rFonts w:ascii="Arial" w:cs="Arial" w:eastAsia="Arial" w:hAnsi="Arial"/>
                <w:color w:val="1A1A1A"/>
                <w:sz w:val="20"/>
                <w:szCs w:val="20"/>
              </w:rPr>
              <w:t xml:space="preserve">Client communication that is proactive, not reactive</w:t>
            </w:r>
          </w:p>
          <w:p>
            <w:pPr>
              <w:pStyle w:val="ListParagraph"/>
              <w:numPr>
                <w:ilvl w:val="0"/>
                <w:numId w:val="2"/>
              </w:numPr>
              <w:spacing w:before="50" w:after="50"/>
            </w:pPr>
            <w:r>
              <w:rPr>
                <w:rFonts w:ascii="Arial" w:cs="Arial" w:eastAsia="Arial" w:hAnsi="Arial"/>
                <w:color w:val="1A1A1A"/>
                <w:sz w:val="20"/>
                <w:szCs w:val="20"/>
              </w:rPr>
              <w:t xml:space="preserve">Renewal prep that takes minutes, not hours</w:t>
            </w:r>
          </w:p>
          <w:p>
            <w:pPr>
              <w:pStyle w:val="ListParagraph"/>
              <w:numPr>
                <w:ilvl w:val="0"/>
                <w:numId w:val="2"/>
              </w:numPr>
              <w:spacing w:before="50" w:after="50"/>
            </w:pPr>
            <w:r>
              <w:rPr>
                <w:rFonts w:ascii="Arial" w:cs="Arial" w:eastAsia="Arial" w:hAnsi="Arial"/>
                <w:color w:val="1A1A1A"/>
                <w:sz w:val="20"/>
                <w:szCs w:val="20"/>
              </w:rPr>
              <w:t xml:space="preserve">A prospecting system that runs even on the busiest days</w:t>
            </w:r>
          </w:p>
        </w:tc>
        <w:tc>
          <w:tcPr>
            <w:tcW w:type="dxa" w:w="4680"/>
            <w:tcBorders>
              <w:top w:val="none" w:color="FFFFFF" w:sz="0"/>
              <w:left w:val="none" w:color="FFFFFF" w:sz="0"/>
              <w:bottom w:val="none" w:color="FFFFFF" w:sz="0"/>
              <w:right w:val="none" w:color="FFFFFF" w:sz="0"/>
            </w:tcBorders>
            <w:tcMar>
              <w:top w:type="dxa" w:w="80"/>
              <w:left w:type="dxa" w:w="180"/>
              <w:bottom w:type="dxa" w:w="80"/>
              <w:right w:type="dxa" w:w="0"/>
            </w:tcMar>
          </w:tcPr>
          <w:p>
            <w:pPr>
              <w:spacing w:before="0" w:after="60"/>
            </w:pPr>
            <w:r>
              <w:rPr>
                <w:rFonts w:ascii="Arial" w:cs="Arial" w:eastAsia="Arial" w:hAnsi="Arial"/>
                <w:b/>
                <w:bCs/>
                <w:color w:val="1B3A5C"/>
                <w:sz w:val="22"/>
                <w:szCs w:val="22"/>
              </w:rPr>
              <w:t xml:space="preserve">For the Agency</w:t>
            </w:r>
          </w:p>
          <w:p>
            <w:pPr>
              <w:pStyle w:val="ListParagraph"/>
              <w:numPr>
                <w:ilvl w:val="0"/>
                <w:numId w:val="2"/>
              </w:numPr>
              <w:spacing w:before="50" w:after="50"/>
            </w:pPr>
            <w:r>
              <w:rPr>
                <w:rFonts w:ascii="Arial" w:cs="Arial" w:eastAsia="Arial" w:hAnsi="Arial"/>
                <w:color w:val="1A1A1A"/>
                <w:sz w:val="20"/>
                <w:szCs w:val="20"/>
              </w:rPr>
              <w:t xml:space="preserve">Consistent professional voice across every agent and every client interaction</w:t>
            </w:r>
          </w:p>
          <w:p>
            <w:pPr>
              <w:pStyle w:val="ListParagraph"/>
              <w:numPr>
                <w:ilvl w:val="0"/>
                <w:numId w:val="2"/>
              </w:numPr>
              <w:spacing w:before="50" w:after="50"/>
            </w:pPr>
            <w:r>
              <w:rPr>
                <w:rFonts w:ascii="Arial" w:cs="Arial" w:eastAsia="Arial" w:hAnsi="Arial"/>
                <w:color w:val="1A1A1A"/>
                <w:sz w:val="20"/>
                <w:szCs w:val="20"/>
              </w:rPr>
              <w:t xml:space="preserve">Stronger retention through systematic, proactive communication</w:t>
            </w:r>
          </w:p>
          <w:p>
            <w:pPr>
              <w:pStyle w:val="ListParagraph"/>
              <w:numPr>
                <w:ilvl w:val="0"/>
                <w:numId w:val="2"/>
              </w:numPr>
              <w:spacing w:before="50" w:after="50"/>
            </w:pPr>
            <w:r>
              <w:rPr>
                <w:rFonts w:ascii="Arial" w:cs="Arial" w:eastAsia="Arial" w:hAnsi="Arial"/>
                <w:color w:val="1A1A1A"/>
                <w:sz w:val="20"/>
                <w:szCs w:val="20"/>
              </w:rPr>
              <w:t xml:space="preserve">A team that is actually using technology investments to full potential</w:t>
            </w:r>
          </w:p>
          <w:p>
            <w:pPr>
              <w:pStyle w:val="ListParagraph"/>
              <w:numPr>
                <w:ilvl w:val="0"/>
                <w:numId w:val="2"/>
              </w:numPr>
              <w:spacing w:before="50" w:after="50"/>
            </w:pPr>
            <w:r>
              <w:rPr>
                <w:rFonts w:ascii="Arial" w:cs="Arial" w:eastAsia="Arial" w:hAnsi="Arial"/>
                <w:color w:val="1A1A1A"/>
                <w:sz w:val="20"/>
                <w:szCs w:val="20"/>
              </w:rPr>
              <w:t xml:space="preserve">A reputation as a modern, responsive, client-first agency</w:t>
            </w:r>
          </w:p>
        </w:tc>
      </w:tr>
    </w:tbl>
    <w:p>
      <w:pPr>
        <w:spacing w:before="1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80"/>
            </w:pPr>
            <w:r>
              <w:rPr>
                <w:rFonts w:ascii="Arial" w:cs="Arial" w:eastAsia="Arial" w:hAnsi="Arial"/>
                <w:b/>
                <w:bCs/>
                <w:color w:val="FFFFFF"/>
                <w:sz w:val="24"/>
                <w:szCs w:val="24"/>
              </w:rPr>
              <w:t xml:space="preserve">The goal isn't more technology.</w:t>
            </w:r>
          </w:p>
          <w:p>
            <w:pPr>
              <w:spacing w:before="0" w:after="0"/>
            </w:pPr>
            <w:r>
              <w:rPr>
                <w:rFonts w:ascii="Arial" w:cs="Arial" w:eastAsia="Arial" w:hAnsi="Arial"/>
                <w:i/>
                <w:iCs/>
                <w:color w:val="C9D8E8"/>
                <w:sz w:val="21"/>
                <w:szCs w:val="21"/>
              </w:rPr>
              <w:t xml:space="preserve">It's building the human capability that sits behind every platform, every proposal, and every client relationship — so agents can spend their time doing what actually grows a book of business.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WHY SIX SESSIONS — NOT ONE SESSION</w:t>
      </w:r>
    </w:p>
    <w:p>
      <w:pPr>
        <w:spacing w:before="100" w:after="100"/>
        <w:jc w:val="left"/>
      </w:pPr>
      <w:r>
        <w:rPr>
          <w:rFonts w:ascii="Arial" w:cs="Arial" w:eastAsia="Arial" w:hAnsi="Arial"/>
          <w:b w:val="false"/>
          <w:bCs w:val="false"/>
          <w:i w:val="false"/>
          <w:iCs w:val="false"/>
          <w:color w:val="1A1A1A"/>
          <w:sz w:val="22"/>
          <w:szCs w:val="22"/>
        </w:rPr>
        <w:t xml:space="preserve">A single session can introduce ideas. Six sessions builds capability.</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Learning science is clear on this: skills practiced across distributed sessions — delivered at whatever cadence fits your organization — are retained significantly better than content delivered in a single event. Adults forget up to 70% of new training within 24 hours without reinforcement and application time. The session cadence is yours to set — each session builds on the last, participants have time to practice between sessions, and skills compound rather than fade.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More importantly, behavior change at the team level takes time — not hours. This program is designed as an adoption architecture, not a training event. The goal is teams who work differently, not teams who attended a workshop.</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A single introductory session is a reasonable starting point, and that option is available. But without the structured progression, the risk is the same one you're already managing: capable tools in skilled hands, and inconsistent ability to use them at full potential.</w:t>
      </w:r>
    </w:p>
    <w:p>
      <w:pPr>
        <w:spacing w:before="12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HOW THIS PROGRAM IS DELIVERED</w:t>
      </w:r>
    </w:p>
    <w:p>
      <w:pPr>
        <w:spacing w:before="100" w:after="100"/>
        <w:jc w:val="left"/>
      </w:pPr>
      <w:r>
        <w:rPr>
          <w:rFonts w:ascii="Arial" w:cs="Arial" w:eastAsia="Arial" w:hAnsi="Arial"/>
          <w:b w:val="false"/>
          <w:bCs w:val="false"/>
          <w:i w:val="false"/>
          <w:iCs w:val="false"/>
          <w:color w:val="1A1A1A"/>
          <w:sz w:val="22"/>
          <w:szCs w:val="22"/>
        </w:rPr>
        <w:t xml:space="preserve">This program is designed to fit your organization's schedule — not the other way around. The six sessions can be delivered in any of the following formats: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Six-Month Series — One session per month over six months. The slowest and most spacious cadence, ideal for organizations where sustained attention is more realistic than intensity. Participants have maximum time to practice and integrate skills between sessions.</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Six-Week Series — One session per week over six weeks. The most common format. Builds consistent momentum while giving participants enough time between sessions to apply what they've learned before the next one.</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Bi-Weekly — One 60-minute session every other week over approximately three months. A steady, low-lift cadence that fits naturally into busy schedules without requiring large blocks of time. Popular with teams that want to stay in motion without feeling rushed.</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Two-Day Immersive — All six sessions delivered across two consecutive days. The fastest path through the full program. Best for teams with a short window for training, an upcoming initiative, or a strong preference for getting it done.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All formats deliver the same content, the same deliverables, and the same Certificate of Completion. The right format depends on your team's schedule, culture, and how quickly you want capability in place. If none of these formats fits your situation exactly, reach out — delivery can be customized around your team's needs.</w:t>
      </w:r>
    </w:p>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CERTIFICATE OF COMPLETION</w:t>
      </w:r>
    </w:p>
    <w:p>
      <w:pPr>
        <w:spacing w:before="100" w:after="100"/>
        <w:jc w:val="left"/>
      </w:pPr>
      <w:r>
        <w:rPr>
          <w:rFonts w:ascii="Arial" w:cs="Arial" w:eastAsia="Arial" w:hAnsi="Arial"/>
          <w:b w:val="false"/>
          <w:bCs w:val="false"/>
          <w:i w:val="false"/>
          <w:iCs w:val="false"/>
          <w:color w:val="1A1A1A"/>
          <w:sz w:val="22"/>
          <w:szCs w:val="22"/>
        </w:rPr>
        <w:t xml:space="preserve">Participants who complete all six sessions receive a Certificate of Completion from Future Workforce Systems documenting their AI skill development training.</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Many organizations require proof of professional development for HR records, performance reviews, tuition reimbursement, and continuing education tracking. This certificate provides that documentation — a tangible record of the capability investment your team or your people have made.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For individuals, it demonstrates a commitment to professional growth in one of the most in-demand skill areas across every industry. For organizations, it gives HR and leadership a clear, verifiable record that training was completed — not just scheduled.</w:t>
      </w:r>
    </w:p>
    <w:p>
      <w:pPr>
        <w:spacing w:before="12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LET'S TALK</w:t>
      </w:r>
    </w:p>
    <w:p>
      <w:pPr>
        <w:spacing w:before="100" w:after="100"/>
        <w:jc w:val="left"/>
      </w:pPr>
      <w:r>
        <w:rPr>
          <w:rFonts w:ascii="Arial" w:cs="Arial" w:eastAsia="Arial" w:hAnsi="Arial"/>
          <w:b w:val="false"/>
          <w:bCs w:val="false"/>
          <w:i w:val="false"/>
          <w:iCs w:val="false"/>
          <w:color w:val="1A1A1A"/>
          <w:sz w:val="22"/>
          <w:szCs w:val="22"/>
        </w:rPr>
        <w:t xml:space="preserve">If this feels like the right fit for your organization, the next step is a 15-minute conversation. No sales pitch — just a straightforward discussion about where your team is today, what friction looks like in your operation, and whether this program makes sense for your goals.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There's no implementation to plan, no IT coordination required, and no long procurement process to navigate. Most organizations can move from that first conversation to a scheduled first session in a matter of days.</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60"/>
            </w:pPr>
            <w:r>
              <w:rPr>
                <w:rFonts w:ascii="Arial" w:cs="Arial" w:eastAsia="Arial" w:hAnsi="Arial"/>
                <w:b/>
                <w:bCs/>
                <w:color w:val="FFFFFF"/>
                <w:sz w:val="24"/>
                <w:szCs w:val="24"/>
              </w:rPr>
              <w:t xml:space="preserve">Ready to get started?</w:t>
            </w:r>
          </w:p>
          <w:p>
            <w:pPr>
              <w:spacing w:before="0" w:after="80"/>
            </w:pPr>
            <w:r>
              <w:rPr>
                <w:rFonts w:ascii="Arial" w:cs="Arial" w:eastAsia="Arial" w:hAnsi="Arial"/>
                <w:color w:val="C9D8E8"/>
                <w:sz w:val="21"/>
                <w:szCs w:val="21"/>
              </w:rPr>
              <w:t xml:space="preserve">Reach out directly to schedule your 15-minute conversation.</w:t>
            </w:r>
          </w:p>
          <w:p>
            <w:pPr>
              <w:spacing w:before="0" w:after="40"/>
            </w:pPr>
            <w:r>
              <w:rPr>
                <w:rFonts w:ascii="Arial" w:cs="Arial" w:eastAsia="Arial" w:hAnsi="Arial"/>
                <w:b/>
                <w:bCs/>
                <w:color w:val="FFFFFF"/>
                <w:sz w:val="22"/>
                <w:szCs w:val="22"/>
              </w:rPr>
              <w:t xml:space="preserve">Holly Hartman</w:t>
            </w:r>
          </w:p>
          <w:p>
            <w:pPr>
              <w:spacing w:before="0" w:after="40"/>
            </w:pPr>
            <w:r>
              <w:rPr>
                <w:rFonts w:ascii="Arial" w:cs="Arial" w:eastAsia="Arial" w:hAnsi="Arial"/>
                <w:color w:val="A8C4DC"/>
                <w:sz w:val="20"/>
                <w:szCs w:val="20"/>
              </w:rPr>
              <w:t xml:space="preserve">Future Workforce Systems  │  CollabIntel Consulting Group</w:t>
            </w:r>
          </w:p>
          <w:p>
            <w:pPr>
              <w:spacing w:before="0" w:after="0"/>
            </w:pPr>
            <w:r>
              <w:rPr>
                <w:rFonts w:ascii="Arial" w:cs="Arial" w:eastAsia="Arial" w:hAnsi="Arial"/>
                <w:b/>
                <w:bCs/>
                <w:color w:val="C9D8E8"/>
                <w:sz w:val="22"/>
                <w:szCs w:val="22"/>
              </w:rPr>
              <w:t xml:space="preserve">contact@futureworkforcesystems.com</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0"/>
            </w:pPr>
            <w:r>
              <w:rPr>
                <w:rFonts w:ascii="Arial" w:cs="Arial" w:eastAsia="Arial" w:hAnsi="Arial"/>
                <w:i/>
                <w:iCs/>
                <w:color w:val="A8C4DC"/>
                <w:sz w:val="18"/>
                <w:szCs w:val="18"/>
              </w:rPr>
              <w:t xml:space="preserve">Prepared for your organization  ·  Confidential</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360"/>
      </w:tabs>
      <w:spacing w:before="120" w:after="0"/>
    </w:pPr>
    <w:r>
      <w:rPr>
        <w:rFonts w:ascii="Arial" w:cs="Arial" w:eastAsia="Arial" w:hAnsi="Arial"/>
        <w:color w:val="CCCCCC"/>
        <w:sz w:val="18"/>
        <w:szCs w:val="18"/>
      </w:rPr>
      <w:t xml:space="preserve">Future Workforce Systems  │  CollabIntel Consulting Group  │  Holly Hartman</w:t>
    </w:r>
    <w:r>
      <w:rPr>
        <w:rFonts w:ascii="Arial" w:cs="Arial" w:eastAsia="Arial" w:hAnsi="Arial"/>
        <w:color w:val="CCCCCC"/>
        <w:sz w:val="18"/>
        <w:szCs w:val="18"/>
      </w:rPr>
      <w:t xml:space="preserve">	Page </w:t>
    </w:r>
    <w:r>
      <w:rPr>
        <w:rFonts w:ascii="Arial" w:cs="Arial" w:eastAsia="Arial" w:hAnsi="Arial"/>
        <w:color w:val="CCCCCC"/>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6DA4" w:sz="6" w:space="4"/>
      </w:pBdr>
      <w:spacing w:before="0" w:after="120"/>
    </w:pPr>
    <w:r>
      <w:rPr>
        <w:rFonts w:ascii="Arial" w:cs="Arial" w:eastAsia="Arial" w:hAnsi="Arial"/>
        <w:color w:val="2E6DA4"/>
        <w:sz w:val="18"/>
        <w:szCs w:val="18"/>
      </w:rPr>
      <w:t xml:space="preserve">AI Skill Development for Insurance Professionals  </w:t>
    </w:r>
    <w:r>
      <w:rPr>
        <w:rFonts w:ascii="Arial" w:cs="Arial" w:eastAsia="Arial" w:hAnsi="Arial"/>
        <w:i/>
        <w:iCs/>
        <w:color w:val="CCCCCC"/>
        <w:sz w:val="18"/>
        <w:szCs w:val="18"/>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20"/>
      <w:outlineLvl w:val="0"/>
    </w:pPr>
    <w:rPr>
      <w:rFonts w:ascii="Arial" w:cs="Arial" w:eastAsia="Arial" w:hAnsi="Arial"/>
      <w:b/>
      <w:bCs/>
      <w:color w:val="1B3A5C"/>
      <w:sz w:val="28"/>
      <w:szCs w:val="28"/>
    </w:rPr>
  </w:style>
  <w:style w:type="paragraph" w:styleId="Heading2">
    <w:name w:val="Heading 2"/>
    <w:basedOn w:val="Normal"/>
    <w:next w:val="Normal"/>
    <w:qFormat/>
    <w:pPr>
      <w:spacing w:before="320" w:after="100"/>
      <w:outlineLvl w:val="1"/>
    </w:pPr>
    <w:rPr>
      <w:rFonts w:ascii="Arial" w:cs="Arial" w:eastAsia="Arial" w:hAnsi="Arial"/>
      <w:b/>
      <w:bCs/>
      <w:color w:val="2E6DA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2026-02-20T12:46:38.014Z</dcterms:created>
  <dcterms:modified xsi:type="dcterms:W3CDTF">2026-02-20T12:46:38.015Z</dcterms:modified>
</cp:coreProperties>
</file>

<file path=docProps/custom.xml><?xml version="1.0" encoding="utf-8"?>
<Properties xmlns="http://schemas.openxmlformats.org/officeDocument/2006/custom-properties" xmlns:vt="http://schemas.openxmlformats.org/officeDocument/2006/docPropsVTypes"/>
</file>