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40"/>
                <w:szCs w:val="40"/>
              </w:rPr>
              <w:t xml:space="preserve">Nonprofit Organizations &amp; Associations</w:t>
            </w:r>
          </w:p>
          <w:p>
            <w:pPr>
              <w:spacing w:before="0" w:after="160"/>
            </w:pPr>
            <w:r>
              <w:rPr>
                <w:rFonts w:ascii="Arial" w:cs="Arial" w:eastAsia="Arial" w:hAnsi="Arial"/>
                <w:i/>
                <w:iCs/>
                <w:color w:val="C9D8E8"/>
                <w:sz w:val="22"/>
                <w:szCs w:val="22"/>
              </w:rPr>
              <w:t xml:space="preserve">A Six-Session AI Capability Development Series  ·  Private &amp; Group Cohorts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Nonprofit organizations are asked to do more every year — serve more people, write more grants, communicate with more stakeholders, and report more impact — often with the same team size and the same number of hours in the day. The mission doesn't shrink. The administrative burden keeps growing. And the professionals carrying that burden are burning out.</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AI has created a genuine opportunity to change that equation. Organizations whose staff know how to work with AI are producing grant narratives faster, stewarding donors more consistently, and communicating their impact more compellingly — without adding headcount. Those who haven't invested in AI capability are watching the gap between what their teams can accomplish and what the mission demands get wider every year.</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IBM's Global AI Adoption Index is clear: the number one barrier to scaling AI is not cost or access. It's the skills gap at the user level. Most nonprofits aren't lacking access to AI tools — they're lacking structured, practical training to use them consistently and confidently across the organization.</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close that gap. The Six-Session AI Skill Development Series brings structured AI capability development directly to your team — built around the real writing, communication, and reporting work your staff does every day. Sessions can be delivered as a private cohort for your organization or as a group cohort for member associations. No vendor pitches. No compliance risk. Just transferable AI skills that make your team more effective immediately.</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Staff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regardless of what tools your organization uses or what the technology landscape looks like next year. Staff who develop strong prompt architecture don't become dependent on any single vendor. They become capable AI operators who carry that skill with them throughout their careers.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workforce development powered by AI — and every skill your team builds is transferable across every tool, every role, and every mission they'll ever support.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your team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designed for nonprofit organizations of all sizes and mission areas — and for associations looking to deliver AI capability development to their members at scale: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Nonprofit Organizations</w:t>
            </w:r>
          </w:p>
          <w:p>
            <w:pPr>
              <w:pStyle w:val="ListParagraph"/>
              <w:numPr>
                <w:ilvl w:val="0"/>
                <w:numId w:val="2"/>
              </w:numPr>
              <w:spacing w:before="50" w:after="50"/>
            </w:pPr>
            <w:r>
              <w:rPr>
                <w:rFonts w:ascii="Arial" w:cs="Arial" w:eastAsia="Arial" w:hAnsi="Arial"/>
                <w:color w:val="1A1A1A"/>
                <w:sz w:val="20"/>
                <w:szCs w:val="20"/>
              </w:rPr>
              <w:t xml:space="preserve">Community Foundations &amp; Grant-Making Organizations</w:t>
            </w:r>
          </w:p>
          <w:p>
            <w:pPr>
              <w:pStyle w:val="ListParagraph"/>
              <w:numPr>
                <w:ilvl w:val="0"/>
                <w:numId w:val="2"/>
              </w:numPr>
              <w:spacing w:before="50" w:after="50"/>
            </w:pPr>
            <w:r>
              <w:rPr>
                <w:rFonts w:ascii="Arial" w:cs="Arial" w:eastAsia="Arial" w:hAnsi="Arial"/>
                <w:color w:val="1A1A1A"/>
                <w:sz w:val="20"/>
                <w:szCs w:val="20"/>
              </w:rPr>
              <w:t xml:space="preserve">Human Services &amp; Social Impact Organizations</w:t>
            </w:r>
          </w:p>
          <w:p>
            <w:pPr>
              <w:pStyle w:val="ListParagraph"/>
              <w:numPr>
                <w:ilvl w:val="0"/>
                <w:numId w:val="2"/>
              </w:numPr>
              <w:spacing w:before="50" w:after="50"/>
            </w:pPr>
            <w:r>
              <w:rPr>
                <w:rFonts w:ascii="Arial" w:cs="Arial" w:eastAsia="Arial" w:hAnsi="Arial"/>
                <w:color w:val="1A1A1A"/>
                <w:sz w:val="20"/>
                <w:szCs w:val="20"/>
              </w:rPr>
              <w:t xml:space="preserve">Arts, Culture &amp; Education Nonprofits</w:t>
            </w:r>
          </w:p>
          <w:p>
            <w:pPr>
              <w:pStyle w:val="ListParagraph"/>
              <w:numPr>
                <w:ilvl w:val="0"/>
                <w:numId w:val="2"/>
              </w:numPr>
              <w:spacing w:before="50" w:after="50"/>
            </w:pPr>
            <w:r>
              <w:rPr>
                <w:rFonts w:ascii="Arial" w:cs="Arial" w:eastAsia="Arial" w:hAnsi="Arial"/>
                <w:color w:val="1A1A1A"/>
                <w:sz w:val="20"/>
                <w:szCs w:val="20"/>
              </w:rPr>
              <w:t xml:space="preserve">Health &amp; Advocacy Organizations</w:t>
            </w:r>
          </w:p>
          <w:p>
            <w:pPr>
              <w:pStyle w:val="ListParagraph"/>
              <w:numPr>
                <w:ilvl w:val="0"/>
                <w:numId w:val="2"/>
              </w:numPr>
              <w:spacing w:before="50" w:after="50"/>
            </w:pPr>
            <w:r>
              <w:rPr>
                <w:rFonts w:ascii="Arial" w:cs="Arial" w:eastAsia="Arial" w:hAnsi="Arial"/>
                <w:color w:val="1A1A1A"/>
                <w:sz w:val="20"/>
                <w:szCs w:val="20"/>
              </w:rPr>
              <w:t xml:space="preserve">Faith-Based &amp; Community Organizations</w:t>
            </w:r>
          </w:p>
          <w:p>
            <w:pPr>
              <w:pStyle w:val="ListParagraph"/>
              <w:numPr>
                <w:ilvl w:val="0"/>
                <w:numId w:val="2"/>
              </w:numPr>
              <w:spacing w:before="50" w:after="50"/>
            </w:pPr>
            <w:r>
              <w:rPr>
                <w:rFonts w:ascii="Arial" w:cs="Arial" w:eastAsia="Arial" w:hAnsi="Arial"/>
                <w:color w:val="1A1A1A"/>
                <w:sz w:val="20"/>
                <w:szCs w:val="20"/>
              </w:rPr>
              <w:t xml:space="preserve">Environmental &amp; Conservation Nonprofits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Associations &amp; Membership Organizations</w:t>
            </w:r>
          </w:p>
          <w:p>
            <w:pPr>
              <w:pStyle w:val="ListParagraph"/>
              <w:numPr>
                <w:ilvl w:val="0"/>
                <w:numId w:val="2"/>
              </w:numPr>
              <w:spacing w:before="50" w:after="50"/>
            </w:pPr>
            <w:r>
              <w:rPr>
                <w:rFonts w:ascii="Arial" w:cs="Arial" w:eastAsia="Arial" w:hAnsi="Arial"/>
                <w:color w:val="1A1A1A"/>
                <w:sz w:val="20"/>
                <w:szCs w:val="20"/>
              </w:rPr>
              <w:t xml:space="preserve">Professional Associations Serving Nonprofit Members</w:t>
            </w:r>
          </w:p>
          <w:p>
            <w:pPr>
              <w:pStyle w:val="ListParagraph"/>
              <w:numPr>
                <w:ilvl w:val="0"/>
                <w:numId w:val="2"/>
              </w:numPr>
              <w:spacing w:before="50" w:after="50"/>
            </w:pPr>
            <w:r>
              <w:rPr>
                <w:rFonts w:ascii="Arial" w:cs="Arial" w:eastAsia="Arial" w:hAnsi="Arial"/>
                <w:color w:val="1A1A1A"/>
                <w:sz w:val="20"/>
                <w:szCs w:val="20"/>
              </w:rPr>
              <w:t xml:space="preserve">Regional Nonprofit Councils &amp; Networks</w:t>
            </w:r>
          </w:p>
          <w:p>
            <w:pPr>
              <w:pStyle w:val="ListParagraph"/>
              <w:numPr>
                <w:ilvl w:val="0"/>
                <w:numId w:val="2"/>
              </w:numPr>
              <w:spacing w:before="50" w:after="50"/>
            </w:pPr>
            <w:r>
              <w:rPr>
                <w:rFonts w:ascii="Arial" w:cs="Arial" w:eastAsia="Arial" w:hAnsi="Arial"/>
                <w:color w:val="1A1A1A"/>
                <w:sz w:val="20"/>
                <w:szCs w:val="20"/>
              </w:rPr>
              <w:t xml:space="preserve">Capacity-Building Organizations</w:t>
            </w:r>
          </w:p>
          <w:p>
            <w:pPr>
              <w:pStyle w:val="ListParagraph"/>
              <w:numPr>
                <w:ilvl w:val="0"/>
                <w:numId w:val="2"/>
              </w:numPr>
              <w:spacing w:before="50" w:after="50"/>
            </w:pPr>
            <w:r>
              <w:rPr>
                <w:rFonts w:ascii="Arial" w:cs="Arial" w:eastAsia="Arial" w:hAnsi="Arial"/>
                <w:color w:val="1A1A1A"/>
                <w:sz w:val="20"/>
                <w:szCs w:val="20"/>
              </w:rPr>
              <w:t xml:space="preserve">Community Foundations Serving Grantees</w:t>
            </w:r>
          </w:p>
          <w:p>
            <w:pPr>
              <w:pStyle w:val="ListParagraph"/>
              <w:numPr>
                <w:ilvl w:val="0"/>
                <w:numId w:val="2"/>
              </w:numPr>
              <w:spacing w:before="50" w:after="50"/>
            </w:pPr>
            <w:r>
              <w:rPr>
                <w:rFonts w:ascii="Arial" w:cs="Arial" w:eastAsia="Arial" w:hAnsi="Arial"/>
                <w:color w:val="1A1A1A"/>
                <w:sz w:val="20"/>
                <w:szCs w:val="20"/>
              </w:rPr>
              <w:t xml:space="preserve">State &amp; National Nonprofit Associations</w:t>
            </w:r>
          </w:p>
          <w:p>
            <w:pPr>
              <w:pStyle w:val="ListParagraph"/>
              <w:numPr>
                <w:ilvl w:val="0"/>
                <w:numId w:val="2"/>
              </w:numPr>
              <w:spacing w:before="50" w:after="50"/>
            </w:pPr>
            <w:r>
              <w:rPr>
                <w:rFonts w:ascii="Arial" w:cs="Arial" w:eastAsia="Arial" w:hAnsi="Arial"/>
                <w:color w:val="1A1A1A"/>
                <w:sz w:val="20"/>
                <w:szCs w:val="20"/>
              </w:rPr>
              <w:t xml:space="preserve">United Ways &amp; Federated Giving Organizations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Staff learn to provide relevant context, define tone and constraints, and refine results strategically — so they get precise, mission-aligned outputs instead of generic ones that still need heavy editing.</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nonprofit tasks — grant narratives, donor updates, program reports, board communications — into structured, AI-supported systems that produce consistent results without rebuilding from scratch every time.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donor relationships, stakeholder communication, and community outreach while preserving the authentic, mission-driven voice that defines your organization. Staff develop frameworks that maintain authenticity while dramatically improving consistency and reach.</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Research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research and preparation partner when prospecting funders, building grant strategies, and preparing for board and donor meetings. Staff translate complex program data into compelling narratives — faster and with more impact.</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intelligently within the values and confidentiality standards of nonprofit work. Staff develop clear decision rules for when and how to use AI, protecting beneficiary data and ensuring outputs reflect the organization's voice and mission accurately.</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Nonprofit Teams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Grant Writing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Research, Narrative &amp; Funder Communication That Moves Faster</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Donor Communication &amp; Stewardship</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Outreach That Feels Personal at Any Scale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Program Reporting &amp; Impact Storytelling</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Turn Your Data Into Compelling Narratives</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Board, Stakeholder &amp; Community Communication</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Clear, Consistent Messaging Across Every Audience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Team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Nonprofit Teams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organization. This session removes confusion, standardizes prompting practices, and ensures every staff member — regardless of current experience level — starts from the same baseline. It also addresses data privacy and establishes clear guardrails around what beneficiary, donor, and program information should and should not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Data privacy discipline and clear guidelines for responsible AI use with sensitive beneficiary and donor data</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without getting distracted by hype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every staff member uses to prioritize tasks, draft communication, and organize their day — adapted to each role, from development to programs to communications.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staff roles and experience levels</w:t>
            </w:r>
          </w:p>
          <w:p>
            <w:pPr>
              <w:pStyle w:val="ListParagraph"/>
              <w:numPr>
                <w:ilvl w:val="0"/>
                <w:numId w:val="2"/>
              </w:numPr>
              <w:spacing w:before="40" w:after="40"/>
            </w:pPr>
            <w:r>
              <w:rPr>
                <w:rFonts w:ascii="Arial" w:cs="Arial" w:eastAsia="Arial" w:hAnsi="Arial"/>
                <w:color w:val="1A1A1A"/>
                <w:sz w:val="20"/>
                <w:szCs w:val="20"/>
              </w:rPr>
              <w:t xml:space="preserve">Reduced confusion and hesitation around AI tools organization-wide</w:t>
            </w:r>
          </w:p>
          <w:p>
            <w:pPr>
              <w:pStyle w:val="ListParagraph"/>
              <w:numPr>
                <w:ilvl w:val="0"/>
                <w:numId w:val="2"/>
              </w:numPr>
              <w:spacing w:before="40" w:after="40"/>
            </w:pPr>
            <w:r>
              <w:rPr>
                <w:rFonts w:ascii="Arial" w:cs="Arial" w:eastAsia="Arial" w:hAnsi="Arial"/>
                <w:color w:val="1A1A1A"/>
                <w:sz w:val="20"/>
                <w:szCs w:val="20"/>
              </w:rPr>
              <w:t xml:space="preserve">Standardized data privacy practices from day one</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Grant Writing System</w:t>
            </w:r>
          </w:p>
          <w:p>
            <w:pPr>
              <w:spacing w:before="0" w:after="0"/>
            </w:pPr>
            <w:r>
              <w:rPr>
                <w:rFonts w:ascii="Arial" w:cs="Arial" w:eastAsia="Arial" w:hAnsi="Arial"/>
                <w:i/>
                <w:iCs/>
                <w:color w:val="A8C4DC"/>
                <w:sz w:val="20"/>
                <w:szCs w:val="20"/>
              </w:rPr>
              <w:t xml:space="preserve">Research, Narrative &amp; Funder Communication That Moves Faster</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grant writing from an exhausting, build-from-scratch process into a structured, repeatable system. Development staff develop AI-powered frameworks for funder research, narrative drafting, and application communication — so your team can respond to more opportunities with stronger proposals in less time, without burning out between deadlines.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program and impact input framework that feeds AI-ready grant narrative generation</w:t>
            </w:r>
          </w:p>
          <w:p>
            <w:pPr>
              <w:pStyle w:val="ListParagraph"/>
              <w:numPr>
                <w:ilvl w:val="0"/>
                <w:numId w:val="2"/>
              </w:numPr>
              <w:spacing w:before="40" w:after="40"/>
            </w:pPr>
            <w:r>
              <w:rPr>
                <w:rFonts w:ascii="Arial" w:cs="Arial" w:eastAsia="Arial" w:hAnsi="Arial"/>
                <w:color w:val="1A1A1A"/>
                <w:sz w:val="20"/>
                <w:szCs w:val="20"/>
              </w:rPr>
              <w:t xml:space="preserve">Funder research and prospect summary workflows</w:t>
            </w:r>
          </w:p>
          <w:p>
            <w:pPr>
              <w:pStyle w:val="ListParagraph"/>
              <w:numPr>
                <w:ilvl w:val="0"/>
                <w:numId w:val="2"/>
              </w:numPr>
              <w:spacing w:before="40" w:after="40"/>
            </w:pPr>
            <w:r>
              <w:rPr>
                <w:rFonts w:ascii="Arial" w:cs="Arial" w:eastAsia="Arial" w:hAnsi="Arial"/>
                <w:color w:val="1A1A1A"/>
                <w:sz w:val="20"/>
                <w:szCs w:val="20"/>
              </w:rPr>
              <w:t xml:space="preserve">Repeatable narrative frameworks for need statements, program descriptions, and evaluation plans</w:t>
            </w:r>
          </w:p>
          <w:p>
            <w:pPr>
              <w:pStyle w:val="ListParagraph"/>
              <w:numPr>
                <w:ilvl w:val="0"/>
                <w:numId w:val="2"/>
              </w:numPr>
              <w:spacing w:before="40" w:after="40"/>
            </w:pPr>
            <w:r>
              <w:rPr>
                <w:rFonts w:ascii="Arial" w:cs="Arial" w:eastAsia="Arial" w:hAnsi="Arial"/>
                <w:color w:val="1A1A1A"/>
                <w:sz w:val="20"/>
                <w:szCs w:val="20"/>
              </w:rPr>
              <w:t xml:space="preserve">Letter of inquiry, cover letter, and follow-up communication templates</w:t>
            </w:r>
          </w:p>
          <w:p>
            <w:pPr>
              <w:pStyle w:val="ListParagraph"/>
              <w:numPr>
                <w:ilvl w:val="0"/>
                <w:numId w:val="2"/>
              </w:numPr>
              <w:spacing w:before="40" w:after="40"/>
            </w:pPr>
            <w:r>
              <w:rPr>
                <w:rFonts w:ascii="Arial" w:cs="Arial" w:eastAsia="Arial" w:hAnsi="Arial"/>
                <w:color w:val="1A1A1A"/>
                <w:sz w:val="20"/>
                <w:szCs w:val="20"/>
              </w:rPr>
              <w:t xml:space="preserve">Funder stewardship and reporting communication sequences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Grant Writing System</w:t>
            </w:r>
          </w:p>
          <w:p>
            <w:pPr>
              <w:spacing w:before="0" w:after="0"/>
            </w:pPr>
            <w:r>
              <w:rPr>
                <w:rFonts w:ascii="Arial" w:cs="Arial" w:eastAsia="Arial" w:hAnsi="Arial"/>
                <w:color w:val="1A1A1A"/>
                <w:sz w:val="20"/>
                <w:szCs w:val="20"/>
              </w:rPr>
              <w:t xml:space="preserve">A reusable grant writing framework covering funder research summaries, need statement drafts, program narrative outlines, evaluation plan language, budget narrative frameworks, and follow-up communication — built from your organization's own language and impact data.</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grant narrative drafting without sacrificing quality or mission alignment</w:t>
            </w:r>
          </w:p>
          <w:p>
            <w:pPr>
              <w:pStyle w:val="ListParagraph"/>
              <w:numPr>
                <w:ilvl w:val="0"/>
                <w:numId w:val="2"/>
              </w:numPr>
              <w:spacing w:before="40" w:after="40"/>
            </w:pPr>
            <w:r>
              <w:rPr>
                <w:rFonts w:ascii="Arial" w:cs="Arial" w:eastAsia="Arial" w:hAnsi="Arial"/>
                <w:color w:val="1A1A1A"/>
                <w:sz w:val="20"/>
                <w:szCs w:val="20"/>
              </w:rPr>
              <w:t xml:space="preserve">More proposals submitted per grant season with less staff burnout</w:t>
            </w:r>
          </w:p>
          <w:p>
            <w:pPr>
              <w:pStyle w:val="ListParagraph"/>
              <w:numPr>
                <w:ilvl w:val="0"/>
                <w:numId w:val="2"/>
              </w:numPr>
              <w:spacing w:before="40" w:after="40"/>
            </w:pPr>
            <w:r>
              <w:rPr>
                <w:rFonts w:ascii="Arial" w:cs="Arial" w:eastAsia="Arial" w:hAnsi="Arial"/>
                <w:color w:val="1A1A1A"/>
                <w:sz w:val="20"/>
                <w:szCs w:val="20"/>
              </w:rPr>
              <w:t xml:space="preserve">Stronger funder communication from first LOI to final report</w:t>
            </w:r>
          </w:p>
          <w:p>
            <w:pPr>
              <w:pStyle w:val="ListParagraph"/>
              <w:numPr>
                <w:ilvl w:val="0"/>
                <w:numId w:val="2"/>
              </w:numPr>
              <w:spacing w:before="40" w:after="40"/>
            </w:pPr>
            <w:r>
              <w:rPr>
                <w:rFonts w:ascii="Arial" w:cs="Arial" w:eastAsia="Arial" w:hAnsi="Arial"/>
                <w:color w:val="1A1A1A"/>
                <w:sz w:val="20"/>
                <w:szCs w:val="20"/>
              </w:rPr>
              <w:t xml:space="preserve">A reusable system that gets stronger with every grant cycle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Donor Communication &amp; Stewardship</w:t>
            </w:r>
          </w:p>
          <w:p>
            <w:pPr>
              <w:spacing w:before="0" w:after="0"/>
            </w:pPr>
            <w:r>
              <w:rPr>
                <w:rFonts w:ascii="Arial" w:cs="Arial" w:eastAsia="Arial" w:hAnsi="Arial"/>
                <w:i/>
                <w:iCs/>
                <w:color w:val="A8C4DC"/>
                <w:sz w:val="20"/>
                <w:szCs w:val="20"/>
              </w:rPr>
              <w:t xml:space="preserve">Outreach That Feels Personal at Any Scale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Build a structured, AI-powered donor communication system that maintains the warmth and authenticity of personal relationships — at a scale no small team could achieve manually. Development staff develop frameworks for acknowledgments, stewardship touchpoints, campaign appeals, and major donor communication that feel personal because they're built around your mission and your donors.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donor acknowledgment and thank-you communication frameworks</w:t>
            </w:r>
          </w:p>
          <w:p>
            <w:pPr>
              <w:pStyle w:val="ListParagraph"/>
              <w:numPr>
                <w:ilvl w:val="0"/>
                <w:numId w:val="2"/>
              </w:numPr>
              <w:spacing w:before="40" w:after="40"/>
            </w:pPr>
            <w:r>
              <w:rPr>
                <w:rFonts w:ascii="Arial" w:cs="Arial" w:eastAsia="Arial" w:hAnsi="Arial"/>
                <w:color w:val="1A1A1A"/>
                <w:sz w:val="20"/>
                <w:szCs w:val="20"/>
              </w:rPr>
              <w:t xml:space="preserve">Stewardship touchpoint sequences for different donor segments</w:t>
            </w:r>
          </w:p>
          <w:p>
            <w:pPr>
              <w:pStyle w:val="ListParagraph"/>
              <w:numPr>
                <w:ilvl w:val="0"/>
                <w:numId w:val="2"/>
              </w:numPr>
              <w:spacing w:before="40" w:after="40"/>
            </w:pPr>
            <w:r>
              <w:rPr>
                <w:rFonts w:ascii="Arial" w:cs="Arial" w:eastAsia="Arial" w:hAnsi="Arial"/>
                <w:color w:val="1A1A1A"/>
                <w:sz w:val="20"/>
                <w:szCs w:val="20"/>
              </w:rPr>
              <w:t xml:space="preserve">Year-end and campaign appeal drafting workflows</w:t>
            </w:r>
          </w:p>
          <w:p>
            <w:pPr>
              <w:pStyle w:val="ListParagraph"/>
              <w:numPr>
                <w:ilvl w:val="0"/>
                <w:numId w:val="2"/>
              </w:numPr>
              <w:spacing w:before="40" w:after="40"/>
            </w:pPr>
            <w:r>
              <w:rPr>
                <w:rFonts w:ascii="Arial" w:cs="Arial" w:eastAsia="Arial" w:hAnsi="Arial"/>
                <w:color w:val="1A1A1A"/>
                <w:sz w:val="20"/>
                <w:szCs w:val="20"/>
              </w:rPr>
              <w:t xml:space="preserve">Major donor and planned giving communication templates</w:t>
            </w:r>
          </w:p>
          <w:p>
            <w:pPr>
              <w:pStyle w:val="ListParagraph"/>
              <w:numPr>
                <w:ilvl w:val="0"/>
                <w:numId w:val="2"/>
              </w:numPr>
              <w:spacing w:before="40" w:after="40"/>
            </w:pPr>
            <w:r>
              <w:rPr>
                <w:rFonts w:ascii="Arial" w:cs="Arial" w:eastAsia="Arial" w:hAnsi="Arial"/>
                <w:color w:val="1A1A1A"/>
                <w:sz w:val="20"/>
                <w:szCs w:val="20"/>
              </w:rPr>
              <w:t xml:space="preserve">Lapsed donor re-engagement and retention sequences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Donor Communication System</w:t>
            </w:r>
          </w:p>
          <w:p>
            <w:pPr>
              <w:spacing w:before="0" w:after="0"/>
            </w:pPr>
            <w:r>
              <w:rPr>
                <w:rFonts w:ascii="Arial" w:cs="Arial" w:eastAsia="Arial" w:hAnsi="Arial"/>
                <w:color w:val="1A1A1A"/>
                <w:sz w:val="20"/>
                <w:szCs w:val="20"/>
              </w:rPr>
              <w:t xml:space="preserve">A reusable donor communication framework covering acknowledgments, impact updates, stewardship touchpoints, campaign appeals, major donor cultivation, and lapsed donor re-engagement — mission-aligned, warm, and immediately deployable.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donor stewardship without adding staff hours</w:t>
            </w:r>
          </w:p>
          <w:p>
            <w:pPr>
              <w:pStyle w:val="ListParagraph"/>
              <w:numPr>
                <w:ilvl w:val="0"/>
                <w:numId w:val="2"/>
              </w:numPr>
              <w:spacing w:before="40" w:after="40"/>
            </w:pPr>
            <w:r>
              <w:rPr>
                <w:rFonts w:ascii="Arial" w:cs="Arial" w:eastAsia="Arial" w:hAnsi="Arial"/>
                <w:color w:val="1A1A1A"/>
                <w:sz w:val="20"/>
                <w:szCs w:val="20"/>
              </w:rPr>
              <w:t xml:space="preserve">Stronger donor retention through proactive, meaningful communication</w:t>
            </w:r>
          </w:p>
          <w:p>
            <w:pPr>
              <w:pStyle w:val="ListParagraph"/>
              <w:numPr>
                <w:ilvl w:val="0"/>
                <w:numId w:val="2"/>
              </w:numPr>
              <w:spacing w:before="40" w:after="40"/>
            </w:pPr>
            <w:r>
              <w:rPr>
                <w:rFonts w:ascii="Arial" w:cs="Arial" w:eastAsia="Arial" w:hAnsi="Arial"/>
                <w:color w:val="1A1A1A"/>
                <w:sz w:val="20"/>
                <w:szCs w:val="20"/>
              </w:rPr>
              <w:t xml:space="preserve">Higher quality appeal and campaign messaging produced faster</w:t>
            </w:r>
          </w:p>
          <w:p>
            <w:pPr>
              <w:pStyle w:val="ListParagraph"/>
              <w:numPr>
                <w:ilvl w:val="0"/>
                <w:numId w:val="2"/>
              </w:numPr>
              <w:spacing w:before="40" w:after="40"/>
            </w:pPr>
            <w:r>
              <w:rPr>
                <w:rFonts w:ascii="Arial" w:cs="Arial" w:eastAsia="Arial" w:hAnsi="Arial"/>
                <w:color w:val="1A1A1A"/>
                <w:sz w:val="20"/>
                <w:szCs w:val="20"/>
              </w:rPr>
              <w:t xml:space="preserve">A systematic approach to relationship management that scales with your donor file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Program Reporting &amp; Impact Storytelling</w:t>
            </w:r>
          </w:p>
          <w:p>
            <w:pPr>
              <w:spacing w:before="0" w:after="0"/>
            </w:pPr>
            <w:r>
              <w:rPr>
                <w:rFonts w:ascii="Arial" w:cs="Arial" w:eastAsia="Arial" w:hAnsi="Arial"/>
                <w:i/>
                <w:iCs/>
                <w:color w:val="A8C4DC"/>
                <w:sz w:val="20"/>
                <w:szCs w:val="20"/>
              </w:rPr>
              <w:t xml:space="preserve">Turn Your Data Into Compelling Narratives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Research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One of the most time-consuming and high-stakes writing tasks in nonprofit work is translating program data into compelling impact narratives — for funders, boards, annual reports, and public communication. This session builds AI-powered frameworks for turning program outcomes into stories that resonate, persuade, and demonstrate the value of your work clearly and consistently.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workflows for converting program data and outcomes into narrative summaries</w:t>
            </w:r>
          </w:p>
          <w:p>
            <w:pPr>
              <w:pStyle w:val="ListParagraph"/>
              <w:numPr>
                <w:ilvl w:val="0"/>
                <w:numId w:val="2"/>
              </w:numPr>
              <w:spacing w:before="40" w:after="40"/>
            </w:pPr>
            <w:r>
              <w:rPr>
                <w:rFonts w:ascii="Arial" w:cs="Arial" w:eastAsia="Arial" w:hAnsi="Arial"/>
                <w:color w:val="1A1A1A"/>
                <w:sz w:val="20"/>
                <w:szCs w:val="20"/>
              </w:rPr>
              <w:t xml:space="preserve">Funder report narrative frameworks for interim and final reports</w:t>
            </w:r>
          </w:p>
          <w:p>
            <w:pPr>
              <w:pStyle w:val="ListParagraph"/>
              <w:numPr>
                <w:ilvl w:val="0"/>
                <w:numId w:val="2"/>
              </w:numPr>
              <w:spacing w:before="40" w:after="40"/>
            </w:pPr>
            <w:r>
              <w:rPr>
                <w:rFonts w:ascii="Arial" w:cs="Arial" w:eastAsia="Arial" w:hAnsi="Arial"/>
                <w:color w:val="1A1A1A"/>
                <w:sz w:val="20"/>
                <w:szCs w:val="20"/>
              </w:rPr>
              <w:t xml:space="preserve">Annual report and impact brief drafting systems</w:t>
            </w:r>
          </w:p>
          <w:p>
            <w:pPr>
              <w:pStyle w:val="ListParagraph"/>
              <w:numPr>
                <w:ilvl w:val="0"/>
                <w:numId w:val="2"/>
              </w:numPr>
              <w:spacing w:before="40" w:after="40"/>
            </w:pPr>
            <w:r>
              <w:rPr>
                <w:rFonts w:ascii="Arial" w:cs="Arial" w:eastAsia="Arial" w:hAnsi="Arial"/>
                <w:color w:val="1A1A1A"/>
                <w:sz w:val="20"/>
                <w:szCs w:val="20"/>
              </w:rPr>
              <w:t xml:space="preserve">Case study and beneficiary story development frameworks</w:t>
            </w:r>
          </w:p>
          <w:p>
            <w:pPr>
              <w:pStyle w:val="ListParagraph"/>
              <w:numPr>
                <w:ilvl w:val="0"/>
                <w:numId w:val="2"/>
              </w:numPr>
              <w:spacing w:before="40" w:after="40"/>
            </w:pPr>
            <w:r>
              <w:rPr>
                <w:rFonts w:ascii="Arial" w:cs="Arial" w:eastAsia="Arial" w:hAnsi="Arial"/>
                <w:color w:val="1A1A1A"/>
                <w:sz w:val="20"/>
                <w:szCs w:val="20"/>
              </w:rPr>
              <w:t xml:space="preserve">The ability to maintain authentic, mission-aligned voice across all impact communication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Impact Storytelling &amp; Reporting System</w:t>
            </w:r>
          </w:p>
          <w:p>
            <w:pPr>
              <w:spacing w:before="0" w:after="0"/>
            </w:pPr>
            <w:r>
              <w:rPr>
                <w:rFonts w:ascii="Arial" w:cs="Arial" w:eastAsia="Arial" w:hAnsi="Arial"/>
                <w:color w:val="1A1A1A"/>
                <w:sz w:val="20"/>
                <w:szCs w:val="20"/>
              </w:rPr>
              <w:t xml:space="preserve">A reusable reporting framework covering funder interim and final reports, annual impact summaries, board program updates, case studies, and public-facing impact communication — structured, compelling, and built from your own program data.</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funder report completion without sacrificing depth or mission voice</w:t>
            </w:r>
          </w:p>
          <w:p>
            <w:pPr>
              <w:pStyle w:val="ListParagraph"/>
              <w:numPr>
                <w:ilvl w:val="0"/>
                <w:numId w:val="2"/>
              </w:numPr>
              <w:spacing w:before="40" w:after="40"/>
            </w:pPr>
            <w:r>
              <w:rPr>
                <w:rFonts w:ascii="Arial" w:cs="Arial" w:eastAsia="Arial" w:hAnsi="Arial"/>
                <w:color w:val="1A1A1A"/>
                <w:sz w:val="20"/>
                <w:szCs w:val="20"/>
              </w:rPr>
              <w:t xml:space="preserve">More compelling impact narratives that strengthen funder relationships</w:t>
            </w:r>
          </w:p>
          <w:p>
            <w:pPr>
              <w:pStyle w:val="ListParagraph"/>
              <w:numPr>
                <w:ilvl w:val="0"/>
                <w:numId w:val="2"/>
              </w:numPr>
              <w:spacing w:before="40" w:after="40"/>
            </w:pPr>
            <w:r>
              <w:rPr>
                <w:rFonts w:ascii="Arial" w:cs="Arial" w:eastAsia="Arial" w:hAnsi="Arial"/>
                <w:color w:val="1A1A1A"/>
                <w:sz w:val="20"/>
                <w:szCs w:val="20"/>
              </w:rPr>
              <w:t xml:space="preserve">Consistent impact communication across all audiences and channels</w:t>
            </w:r>
          </w:p>
          <w:p>
            <w:pPr>
              <w:pStyle w:val="ListParagraph"/>
              <w:numPr>
                <w:ilvl w:val="0"/>
                <w:numId w:val="2"/>
              </w:numPr>
              <w:spacing w:before="40" w:after="40"/>
            </w:pPr>
            <w:r>
              <w:rPr>
                <w:rFonts w:ascii="Arial" w:cs="Arial" w:eastAsia="Arial" w:hAnsi="Arial"/>
                <w:color w:val="1A1A1A"/>
                <w:sz w:val="20"/>
                <w:szCs w:val="20"/>
              </w:rPr>
              <w:t xml:space="preserve">Less time on administrative reporting, more capacity for program delivery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AI for Board, Stakeholder &amp; Community Communication</w:t>
            </w:r>
          </w:p>
          <w:p>
            <w:pPr>
              <w:spacing w:before="0" w:after="0"/>
            </w:pPr>
            <w:r>
              <w:rPr>
                <w:rFonts w:ascii="Arial" w:cs="Arial" w:eastAsia="Arial" w:hAnsi="Arial"/>
                <w:i/>
                <w:iCs/>
                <w:color w:val="A8C4DC"/>
                <w:sz w:val="20"/>
                <w:szCs w:val="20"/>
              </w:rPr>
              <w:t xml:space="preserve">Clear, Consistent Messaging Across Every Audience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Nonprofit organizations communicate with an unusually wide range of audiences — boards, funders, community members, volunteers, media, government partners, and the public. This session builds structured AI frameworks for producing clear, audience-appropriate communication across all of them — so your team isn't spending hours tailoring every message from scratch.</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Board communication and meeting preparation frameworks</w:t>
            </w:r>
          </w:p>
          <w:p>
            <w:pPr>
              <w:pStyle w:val="ListParagraph"/>
              <w:numPr>
                <w:ilvl w:val="0"/>
                <w:numId w:val="2"/>
              </w:numPr>
              <w:spacing w:before="40" w:after="40"/>
            </w:pPr>
            <w:r>
              <w:rPr>
                <w:rFonts w:ascii="Arial" w:cs="Arial" w:eastAsia="Arial" w:hAnsi="Arial"/>
                <w:color w:val="1A1A1A"/>
                <w:sz w:val="20"/>
                <w:szCs w:val="20"/>
              </w:rPr>
              <w:t xml:space="preserve">Community outreach and stakeholder update templates</w:t>
            </w:r>
          </w:p>
          <w:p>
            <w:pPr>
              <w:pStyle w:val="ListParagraph"/>
              <w:numPr>
                <w:ilvl w:val="0"/>
                <w:numId w:val="2"/>
              </w:numPr>
              <w:spacing w:before="40" w:after="40"/>
            </w:pPr>
            <w:r>
              <w:rPr>
                <w:rFonts w:ascii="Arial" w:cs="Arial" w:eastAsia="Arial" w:hAnsi="Arial"/>
                <w:color w:val="1A1A1A"/>
                <w:sz w:val="20"/>
                <w:szCs w:val="20"/>
              </w:rPr>
              <w:t xml:space="preserve">Volunteer recruitment and appreciation communication sequences</w:t>
            </w:r>
          </w:p>
          <w:p>
            <w:pPr>
              <w:pStyle w:val="ListParagraph"/>
              <w:numPr>
                <w:ilvl w:val="0"/>
                <w:numId w:val="2"/>
              </w:numPr>
              <w:spacing w:before="40" w:after="40"/>
            </w:pPr>
            <w:r>
              <w:rPr>
                <w:rFonts w:ascii="Arial" w:cs="Arial" w:eastAsia="Arial" w:hAnsi="Arial"/>
                <w:color w:val="1A1A1A"/>
                <w:sz w:val="20"/>
                <w:szCs w:val="20"/>
              </w:rPr>
              <w:t xml:space="preserve">Media and press communication frameworks</w:t>
            </w:r>
          </w:p>
          <w:p>
            <w:pPr>
              <w:pStyle w:val="ListParagraph"/>
              <w:numPr>
                <w:ilvl w:val="0"/>
                <w:numId w:val="2"/>
              </w:numPr>
              <w:spacing w:before="40" w:after="40"/>
            </w:pPr>
            <w:r>
              <w:rPr>
                <w:rFonts w:ascii="Arial" w:cs="Arial" w:eastAsia="Arial" w:hAnsi="Arial"/>
                <w:color w:val="1A1A1A"/>
                <w:sz w:val="20"/>
                <w:szCs w:val="20"/>
              </w:rPr>
              <w:t xml:space="preserve">Social media and newsletter content systems built around your mission voice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Stakeholder Communication Framework</w:t>
            </w:r>
          </w:p>
          <w:p>
            <w:pPr>
              <w:spacing w:before="0" w:after="0"/>
            </w:pPr>
            <w:r>
              <w:rPr>
                <w:rFonts w:ascii="Arial" w:cs="Arial" w:eastAsia="Arial" w:hAnsi="Arial"/>
                <w:color w:val="1A1A1A"/>
                <w:sz w:val="20"/>
                <w:szCs w:val="20"/>
              </w:rPr>
              <w:t xml:space="preserve">A reusable communication system covering board updates, community newsletters, volunteer outreach, social media content, press communication, and partner correspondence — tailored to your organization's voice and ready to deploy across every channel.</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communication across all stakeholder audiences</w:t>
            </w:r>
          </w:p>
          <w:p>
            <w:pPr>
              <w:pStyle w:val="ListParagraph"/>
              <w:numPr>
                <w:ilvl w:val="0"/>
                <w:numId w:val="2"/>
              </w:numPr>
              <w:spacing w:before="40" w:after="40"/>
            </w:pPr>
            <w:r>
              <w:rPr>
                <w:rFonts w:ascii="Arial" w:cs="Arial" w:eastAsia="Arial" w:hAnsi="Arial"/>
                <w:color w:val="1A1A1A"/>
                <w:sz w:val="20"/>
                <w:szCs w:val="20"/>
              </w:rPr>
              <w:t xml:space="preserve">Faster content production for newsletters, social media, and community updates</w:t>
            </w:r>
          </w:p>
          <w:p>
            <w:pPr>
              <w:pStyle w:val="ListParagraph"/>
              <w:numPr>
                <w:ilvl w:val="0"/>
                <w:numId w:val="2"/>
              </w:numPr>
              <w:spacing w:before="40" w:after="40"/>
            </w:pPr>
            <w:r>
              <w:rPr>
                <w:rFonts w:ascii="Arial" w:cs="Arial" w:eastAsia="Arial" w:hAnsi="Arial"/>
                <w:color w:val="1A1A1A"/>
                <w:sz w:val="20"/>
                <w:szCs w:val="20"/>
              </w:rPr>
              <w:t xml:space="preserve">Stronger board and funder relationships through proactive, clear communication</w:t>
            </w:r>
          </w:p>
          <w:p>
            <w:pPr>
              <w:pStyle w:val="ListParagraph"/>
              <w:numPr>
                <w:ilvl w:val="0"/>
                <w:numId w:val="2"/>
              </w:numPr>
              <w:spacing w:before="40" w:after="40"/>
            </w:pPr>
            <w:r>
              <w:rPr>
                <w:rFonts w:ascii="Arial" w:cs="Arial" w:eastAsia="Arial" w:hAnsi="Arial"/>
                <w:color w:val="1A1A1A"/>
                <w:sz w:val="20"/>
                <w:szCs w:val="20"/>
              </w:rPr>
              <w:t xml:space="preserve">Less staff time spent context-switching between audiences and formats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Team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Each participant consolidates the skills, frameworks, and deliverables from Sessions 1–5 into a personalized AI operating system built around their actual role and your organization's mission. This session shifts your team from applying isolated skills to running complete, connected workflows they own and sustain independently — regardless of what platforms or tools your organization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Mission-aligned voice consistency across grant writing, donor communication, and reporting</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each staff member maintains independently</w:t>
            </w:r>
          </w:p>
          <w:p>
            <w:pPr>
              <w:pStyle w:val="ListParagraph"/>
              <w:numPr>
                <w:ilvl w:val="0"/>
                <w:numId w:val="2"/>
              </w:numPr>
              <w:spacing w:before="40" w:after="40"/>
            </w:pPr>
            <w:r>
              <w:rPr>
                <w:rFonts w:ascii="Arial" w:cs="Arial" w:eastAsia="Arial" w:hAnsi="Arial"/>
                <w:color w:val="1A1A1A"/>
                <w:sz w:val="20"/>
                <w:szCs w:val="20"/>
              </w:rPr>
              <w:t xml:space="preserve">Confident integration of AI outputs with any platform or system your organization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Organizational AI Operating System</w:t>
            </w:r>
          </w:p>
          <w:p>
            <w:pPr>
              <w:spacing w:before="0" w:after="0"/>
            </w:pPr>
            <w:r>
              <w:rPr>
                <w:rFonts w:ascii="Arial" w:cs="Arial" w:eastAsia="Arial" w:hAnsi="Arial"/>
                <w:color w:val="1A1A1A"/>
                <w:sz w:val="20"/>
                <w:szCs w:val="20"/>
              </w:rPr>
              <w:t xml:space="preserve">Built during the session using each participant's own grants, donors, programs, and mission voice. Covers grant writing workflows, donor communication systems, impact reporting frameworks,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Your team leaves with working systems — not just new knowledge</w:t>
            </w:r>
          </w:p>
          <w:p>
            <w:pPr>
              <w:pStyle w:val="ListParagraph"/>
              <w:numPr>
                <w:ilvl w:val="0"/>
                <w:numId w:val="2"/>
              </w:numPr>
              <w:spacing w:before="40" w:after="40"/>
            </w:pPr>
            <w:r>
              <w:rPr>
                <w:rFonts w:ascii="Arial" w:cs="Arial" w:eastAsia="Arial" w:hAnsi="Arial"/>
                <w:color w:val="1A1A1A"/>
                <w:sz w:val="20"/>
                <w:szCs w:val="20"/>
              </w:rPr>
              <w:t xml:space="preserve">Consistent, mission-aligned output quality across every role and every function</w:t>
            </w:r>
          </w:p>
          <w:p>
            <w:pPr>
              <w:pStyle w:val="ListParagraph"/>
              <w:numPr>
                <w:ilvl w:val="0"/>
                <w:numId w:val="2"/>
              </w:numPr>
              <w:spacing w:before="40" w:after="40"/>
            </w:pPr>
            <w:r>
              <w:rPr>
                <w:rFonts w:ascii="Arial" w:cs="Arial" w:eastAsia="Arial" w:hAnsi="Arial"/>
                <w:color w:val="1A1A1A"/>
                <w:sz w:val="20"/>
                <w:szCs w:val="20"/>
              </w:rPr>
              <w:t xml:space="preserve">Reduced scattered, inconsistent AI usage across the organization</w:t>
            </w:r>
          </w:p>
          <w:p>
            <w:pPr>
              <w:pStyle w:val="ListParagraph"/>
              <w:numPr>
                <w:ilvl w:val="0"/>
                <w:numId w:val="2"/>
              </w:numPr>
              <w:spacing w:before="40" w:after="40"/>
            </w:pPr>
            <w:r>
              <w:rPr>
                <w:rFonts w:ascii="Arial" w:cs="Arial" w:eastAsia="Arial" w:hAnsi="Arial"/>
                <w:color w:val="1A1A1A"/>
                <w:sz w:val="20"/>
                <w:szCs w:val="20"/>
              </w:rPr>
              <w:t xml:space="preserve">A clear foundation for continued AI capability development as the technology evolves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Staff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staff member's actual role and responsibilities. Measurably reduced time on grant writing, donor communication, reporting, and stakeholder outreach. Confident, independent AI use that carries forward across every role and every organization they'll ever work for — not tied to any platform or vendor.</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Organization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Your Team</w:t>
            </w:r>
          </w:p>
          <w:p>
            <w:pPr>
              <w:pStyle w:val="ListParagraph"/>
              <w:numPr>
                <w:ilvl w:val="0"/>
                <w:numId w:val="2"/>
              </w:numPr>
              <w:spacing w:before="50" w:after="50"/>
            </w:pPr>
            <w:r>
              <w:rPr>
                <w:rFonts w:ascii="Arial" w:cs="Arial" w:eastAsia="Arial" w:hAnsi="Arial"/>
                <w:color w:val="1A1A1A"/>
                <w:sz w:val="20"/>
                <w:szCs w:val="20"/>
              </w:rPr>
              <w:t xml:space="preserve">Grant narratives drafted faster without sacrificing mission alignment</w:t>
            </w:r>
          </w:p>
          <w:p>
            <w:pPr>
              <w:pStyle w:val="ListParagraph"/>
              <w:numPr>
                <w:ilvl w:val="0"/>
                <w:numId w:val="2"/>
              </w:numPr>
              <w:spacing w:before="50" w:after="50"/>
            </w:pPr>
            <w:r>
              <w:rPr>
                <w:rFonts w:ascii="Arial" w:cs="Arial" w:eastAsia="Arial" w:hAnsi="Arial"/>
                <w:color w:val="1A1A1A"/>
                <w:sz w:val="20"/>
                <w:szCs w:val="20"/>
              </w:rPr>
              <w:t xml:space="preserve">Donor stewardship that is consistent, warm, and proactive</w:t>
            </w:r>
          </w:p>
          <w:p>
            <w:pPr>
              <w:pStyle w:val="ListParagraph"/>
              <w:numPr>
                <w:ilvl w:val="0"/>
                <w:numId w:val="2"/>
              </w:numPr>
              <w:spacing w:before="50" w:after="50"/>
            </w:pPr>
            <w:r>
              <w:rPr>
                <w:rFonts w:ascii="Arial" w:cs="Arial" w:eastAsia="Arial" w:hAnsi="Arial"/>
                <w:color w:val="1A1A1A"/>
                <w:sz w:val="20"/>
                <w:szCs w:val="20"/>
              </w:rPr>
              <w:t xml:space="preserve">Impact reporting that takes hours instead of days</w:t>
            </w:r>
          </w:p>
          <w:p>
            <w:pPr>
              <w:pStyle w:val="ListParagraph"/>
              <w:numPr>
                <w:ilvl w:val="0"/>
                <w:numId w:val="2"/>
              </w:numPr>
              <w:spacing w:before="50" w:after="50"/>
            </w:pPr>
            <w:r>
              <w:rPr>
                <w:rFonts w:ascii="Arial" w:cs="Arial" w:eastAsia="Arial" w:hAnsi="Arial"/>
                <w:color w:val="1A1A1A"/>
                <w:sz w:val="20"/>
                <w:szCs w:val="20"/>
              </w:rPr>
              <w:t xml:space="preserve">Board and stakeholder communication that is clearer and more consistent</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Organization</w:t>
            </w:r>
          </w:p>
          <w:p>
            <w:pPr>
              <w:pStyle w:val="ListParagraph"/>
              <w:numPr>
                <w:ilvl w:val="0"/>
                <w:numId w:val="2"/>
              </w:numPr>
              <w:spacing w:before="50" w:after="50"/>
            </w:pPr>
            <w:r>
              <w:rPr>
                <w:rFonts w:ascii="Arial" w:cs="Arial" w:eastAsia="Arial" w:hAnsi="Arial"/>
                <w:color w:val="1A1A1A"/>
                <w:sz w:val="20"/>
                <w:szCs w:val="20"/>
              </w:rPr>
              <w:t xml:space="preserve">Greater capacity to pursue more funding without adding headcount</w:t>
            </w:r>
          </w:p>
          <w:p>
            <w:pPr>
              <w:pStyle w:val="ListParagraph"/>
              <w:numPr>
                <w:ilvl w:val="0"/>
                <w:numId w:val="2"/>
              </w:numPr>
              <w:spacing w:before="50" w:after="50"/>
            </w:pPr>
            <w:r>
              <w:rPr>
                <w:rFonts w:ascii="Arial" w:cs="Arial" w:eastAsia="Arial" w:hAnsi="Arial"/>
                <w:color w:val="1A1A1A"/>
                <w:sz w:val="20"/>
                <w:szCs w:val="20"/>
              </w:rPr>
              <w:t xml:space="preserve">Consistent organizational voice across every channel and every staff member</w:t>
            </w:r>
          </w:p>
          <w:p>
            <w:pPr>
              <w:pStyle w:val="ListParagraph"/>
              <w:numPr>
                <w:ilvl w:val="0"/>
                <w:numId w:val="2"/>
              </w:numPr>
              <w:spacing w:before="50" w:after="50"/>
            </w:pPr>
            <w:r>
              <w:rPr>
                <w:rFonts w:ascii="Arial" w:cs="Arial" w:eastAsia="Arial" w:hAnsi="Arial"/>
                <w:color w:val="1A1A1A"/>
                <w:sz w:val="20"/>
                <w:szCs w:val="20"/>
              </w:rPr>
              <w:t xml:space="preserve">Staff who are less burned out and more focused on mission-critical work</w:t>
            </w:r>
          </w:p>
          <w:p>
            <w:pPr>
              <w:pStyle w:val="ListParagraph"/>
              <w:numPr>
                <w:ilvl w:val="0"/>
                <w:numId w:val="2"/>
              </w:numPr>
              <w:spacing w:before="50" w:after="50"/>
            </w:pPr>
            <w:r>
              <w:rPr>
                <w:rFonts w:ascii="Arial" w:cs="Arial" w:eastAsia="Arial" w:hAnsi="Arial"/>
                <w:color w:val="1A1A1A"/>
                <w:sz w:val="20"/>
                <w:szCs w:val="20"/>
              </w:rPr>
              <w:t xml:space="preserve">A structured AI capability that grows with your team over time</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2"/>
                <w:szCs w:val="22"/>
              </w:rPr>
              <w:t xml:space="preserve">The mission doesn't get smaller. But the work to support it can.</w:t>
            </w:r>
          </w:p>
          <w:p>
            <w:pPr>
              <w:spacing w:before="0" w:after="0"/>
            </w:pPr>
            <w:r>
              <w:rPr>
                <w:rFonts w:ascii="Arial" w:cs="Arial" w:eastAsia="Arial" w:hAnsi="Arial"/>
                <w:i/>
                <w:iCs/>
                <w:color w:val="C9D8E8"/>
                <w:sz w:val="21"/>
                <w:szCs w:val="21"/>
              </w:rPr>
              <w:t xml:space="preserve">This program builds the human capability that makes your organization more effective — so your team can do more meaningful work without working more hours.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WORKSHOP</w:t>
      </w:r>
    </w:p>
    <w:p>
      <w:pPr>
        <w:spacing w:before="100" w:after="100"/>
        <w:jc w:val="left"/>
      </w:pPr>
      <w:r>
        <w:rPr>
          <w:rFonts w:ascii="Arial" w:cs="Arial" w:eastAsia="Arial" w:hAnsi="Arial"/>
          <w:b w:val="false"/>
          <w:bCs w:val="false"/>
          <w:i w:val="false"/>
          <w:iCs w:val="false"/>
          <w:color w:val="1A1A1A"/>
          <w:sz w:val="22"/>
          <w:szCs w:val="22"/>
        </w:rPr>
        <w:t xml:space="preserve">A single workshop can introduce ideas. Six sessions builds capability your team actually uses.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Learning science is clear: skills practiced across distributed sessions are retained significantly better than content delivered in a single event. Adults forget up to 70% of new training within 24 hours without reinforcement and application time. The session cadence is flexible — sessions can be scheduled at whatever pace fits your organization's calendar — but each one builds on the last, and skills compound rather than fade.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More importantly, behavior change at the organizational level takes time — not hours. This program is designed as an adoption architecture, not a training event. The goal is a team that works differently, not a team that attended a workshop. For associations delivering this to member organizations, the cohort model creates a shared learning experience that strengthens the network as much as the individual participants.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 single introductory session is available as a starting point. But without the structured progression, the risk is the same one most nonprofits already face: access to powerful tools, and a team that isn't using them consistently or confidently.</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or your member community, the next step is a 15-minute conversation. No sales pitch — just a straightforward discussion about where your team is today, what friction looks like in your operation, and whether this program makes sense for your goals and your timeline.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software to install, no IT coordination required, and no long procurement process to navigate. Private cohorts can typically launch within a few weeks of that first conversation. Association partnerships can be structured flexibly around your program calendar.</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Private &amp; Group Cohorts Available  ·  Future Workforce Systems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Nonprofit Organizations &amp; Associations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2026-02-20T12:46:46.353Z</dcterms:created>
  <dcterms:modified xsi:type="dcterms:W3CDTF">2026-02-20T12:46:46.354Z</dcterms:modified>
</cp:coreProperties>
</file>

<file path=docProps/custom.xml><?xml version="1.0" encoding="utf-8"?>
<Properties xmlns="http://schemas.openxmlformats.org/officeDocument/2006/custom-properties" xmlns:vt="http://schemas.openxmlformats.org/officeDocument/2006/docPropsVTypes"/>
</file>